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04" w:rsidRPr="00B118A0" w:rsidRDefault="00E54604" w:rsidP="00E54604">
      <w:pPr>
        <w:rPr>
          <w:b/>
          <w:color w:val="000000" w:themeColor="text1"/>
          <w:sz w:val="24"/>
          <w:szCs w:val="24"/>
        </w:rPr>
      </w:pPr>
      <w:bookmarkStart w:id="0" w:name="_GoBack"/>
      <w:bookmarkEnd w:id="0"/>
      <w:r w:rsidRPr="00B118A0">
        <w:rPr>
          <w:b/>
          <w:color w:val="000000" w:themeColor="text1"/>
          <w:sz w:val="24"/>
          <w:szCs w:val="24"/>
        </w:rPr>
        <w:t xml:space="preserve">PYTANIE 1: Czy jeśli </w:t>
      </w:r>
      <w:r w:rsidR="0048293B" w:rsidRPr="00B118A0">
        <w:rPr>
          <w:b/>
          <w:color w:val="000000" w:themeColor="text1"/>
          <w:sz w:val="24"/>
          <w:szCs w:val="24"/>
        </w:rPr>
        <w:t>Wnioskodawca chciałby</w:t>
      </w:r>
      <w:r w:rsidRPr="00B118A0">
        <w:rPr>
          <w:b/>
          <w:color w:val="000000" w:themeColor="text1"/>
          <w:sz w:val="24"/>
          <w:szCs w:val="24"/>
        </w:rPr>
        <w:t xml:space="preserve"> składać wniosek z partnerem prywatnym to czy partner musi należeć do kręgu beneficjentów, który jest wymien</w:t>
      </w:r>
      <w:r w:rsidR="00B37693" w:rsidRPr="00B118A0">
        <w:rPr>
          <w:b/>
          <w:color w:val="000000" w:themeColor="text1"/>
          <w:sz w:val="24"/>
          <w:szCs w:val="24"/>
        </w:rPr>
        <w:t>iony w dokumentacji konkursowej</w:t>
      </w:r>
      <w:r w:rsidRPr="00B118A0">
        <w:rPr>
          <w:b/>
          <w:color w:val="000000" w:themeColor="text1"/>
          <w:sz w:val="24"/>
          <w:szCs w:val="24"/>
        </w:rPr>
        <w:t>?</w:t>
      </w:r>
      <w:r w:rsidR="00B37693" w:rsidRPr="00B118A0">
        <w:rPr>
          <w:b/>
          <w:color w:val="000000" w:themeColor="text1"/>
          <w:sz w:val="24"/>
          <w:szCs w:val="24"/>
        </w:rPr>
        <w:t xml:space="preserve"> Czy w takiej sytuacji w LPR należy dokonać zmian i dodać zapis, że projekt będzie realizowany w partnerstwie?</w:t>
      </w:r>
    </w:p>
    <w:p w:rsidR="00E54604" w:rsidRPr="00B118A0" w:rsidRDefault="00E54604" w:rsidP="00E54604">
      <w:pPr>
        <w:pStyle w:val="Akapitzlist"/>
        <w:spacing w:line="360" w:lineRule="auto"/>
        <w:ind w:left="0"/>
        <w:rPr>
          <w:color w:val="000000" w:themeColor="text1"/>
          <w:sz w:val="24"/>
          <w:szCs w:val="24"/>
        </w:rPr>
      </w:pPr>
      <w:r w:rsidRPr="00B118A0">
        <w:rPr>
          <w:rFonts w:asciiTheme="minorHAnsi" w:eastAsiaTheme="minorEastAsia" w:hAnsiTheme="minorHAnsi"/>
          <w:color w:val="000000" w:themeColor="text1"/>
          <w:sz w:val="24"/>
          <w:szCs w:val="24"/>
          <w:lang w:eastAsia="pl-PL"/>
        </w:rPr>
        <w:t xml:space="preserve">ODPOWIEDŹ: </w:t>
      </w:r>
      <w:r w:rsidRPr="00B118A0">
        <w:rPr>
          <w:color w:val="000000" w:themeColor="text1"/>
          <w:sz w:val="24"/>
          <w:szCs w:val="24"/>
        </w:rPr>
        <w:t>Partner musi być wskazany w katalogu beneficjentów. Jeżeli projekt ma być realizowany w partnerstwie, należy w Lokalnym Programie Rewitalizacji wskazać taką formę. Jest również możliwość realizowania wspólnie projektów (łącząc je w jeden wniosek), które są w LPR zgłoszone indywidualnie. Należy pamiętać, że zakres takiego projektu nie może być większy niż ten, który został wskazany w LPR. Wybór partnera i realizacja takiego projektu musi się odbyć zgodnie z zasadami opisanymi w Regulaminie konkursu (pkt. 32).</w:t>
      </w:r>
    </w:p>
    <w:p w:rsidR="00305AE7" w:rsidRPr="00B118A0" w:rsidRDefault="00305AE7" w:rsidP="00305AE7">
      <w:pPr>
        <w:rPr>
          <w:b/>
          <w:color w:val="000000" w:themeColor="text1"/>
          <w:sz w:val="24"/>
          <w:szCs w:val="24"/>
        </w:rPr>
      </w:pPr>
      <w:r w:rsidRPr="00B118A0">
        <w:rPr>
          <w:b/>
          <w:color w:val="000000" w:themeColor="text1"/>
          <w:sz w:val="24"/>
          <w:szCs w:val="24"/>
        </w:rPr>
        <w:t>PYTANIE 2: Czy deklaracja natura i gospodarka wodna może być wydana dla szerszego zakresu działań niż te wskaz</w:t>
      </w:r>
      <w:r w:rsidR="00B118A0" w:rsidRPr="00B118A0">
        <w:rPr>
          <w:b/>
          <w:color w:val="000000" w:themeColor="text1"/>
          <w:sz w:val="24"/>
          <w:szCs w:val="24"/>
        </w:rPr>
        <w:t>ane we wniosku o dofinansowanie</w:t>
      </w:r>
      <w:r w:rsidRPr="00B118A0">
        <w:rPr>
          <w:b/>
          <w:color w:val="000000" w:themeColor="text1"/>
          <w:sz w:val="24"/>
          <w:szCs w:val="24"/>
        </w:rPr>
        <w:t>?</w:t>
      </w:r>
    </w:p>
    <w:p w:rsidR="00E54604" w:rsidRPr="00B118A0" w:rsidRDefault="00305AE7" w:rsidP="00305AE7">
      <w:pPr>
        <w:pStyle w:val="Akapitzlist"/>
        <w:spacing w:line="360" w:lineRule="auto"/>
        <w:ind w:left="0"/>
        <w:rPr>
          <w:color w:val="000000" w:themeColor="text1"/>
          <w:sz w:val="24"/>
          <w:szCs w:val="24"/>
        </w:rPr>
      </w:pPr>
      <w:r w:rsidRPr="00B118A0">
        <w:rPr>
          <w:color w:val="000000" w:themeColor="text1"/>
          <w:sz w:val="24"/>
          <w:szCs w:val="24"/>
        </w:rPr>
        <w:t xml:space="preserve">ODPOWIEDŹ: </w:t>
      </w:r>
      <w:r w:rsidR="00E54604" w:rsidRPr="00B118A0">
        <w:rPr>
          <w:color w:val="000000" w:themeColor="text1"/>
          <w:sz w:val="24"/>
          <w:szCs w:val="24"/>
        </w:rPr>
        <w:t>Tak, można przedłożyć dokumenty na szerszy zakres niż ten we wniosku o dofinansowanie.</w:t>
      </w:r>
    </w:p>
    <w:p w:rsidR="00655300" w:rsidRPr="00B118A0" w:rsidRDefault="00655300" w:rsidP="00655300">
      <w:pPr>
        <w:rPr>
          <w:b/>
          <w:color w:val="000000" w:themeColor="text1"/>
          <w:sz w:val="24"/>
          <w:szCs w:val="24"/>
        </w:rPr>
      </w:pPr>
      <w:r w:rsidRPr="00B118A0">
        <w:rPr>
          <w:b/>
          <w:color w:val="000000" w:themeColor="text1"/>
          <w:sz w:val="24"/>
          <w:szCs w:val="24"/>
        </w:rPr>
        <w:t xml:space="preserve">PYTANIE 3: Jeśli </w:t>
      </w:r>
      <w:r w:rsidR="00DB1949" w:rsidRPr="00B118A0">
        <w:rPr>
          <w:b/>
          <w:color w:val="000000" w:themeColor="text1"/>
          <w:sz w:val="24"/>
          <w:szCs w:val="24"/>
        </w:rPr>
        <w:t>Wnioskodawca przewiduje</w:t>
      </w:r>
      <w:r w:rsidRPr="00B118A0">
        <w:rPr>
          <w:b/>
          <w:color w:val="000000" w:themeColor="text1"/>
          <w:sz w:val="24"/>
          <w:szCs w:val="24"/>
        </w:rPr>
        <w:t xml:space="preserve"> zakup nieruchomości gruntowej lub zabudowanej, to w jakiej procedurze musi to nastąpić, aby zaliczyć taki za</w:t>
      </w:r>
      <w:r w:rsidR="00DB1949" w:rsidRPr="00B118A0">
        <w:rPr>
          <w:b/>
          <w:color w:val="000000" w:themeColor="text1"/>
          <w:sz w:val="24"/>
          <w:szCs w:val="24"/>
        </w:rPr>
        <w:t>kup jako wydatek kwalifikowalny</w:t>
      </w:r>
      <w:r w:rsidRPr="00B118A0">
        <w:rPr>
          <w:b/>
          <w:color w:val="000000" w:themeColor="text1"/>
          <w:sz w:val="24"/>
          <w:szCs w:val="24"/>
        </w:rPr>
        <w:t xml:space="preserve">? </w:t>
      </w:r>
      <w:r w:rsidR="00F51D3E" w:rsidRPr="00B118A0">
        <w:rPr>
          <w:b/>
          <w:color w:val="000000" w:themeColor="text1"/>
          <w:sz w:val="24"/>
          <w:szCs w:val="24"/>
        </w:rPr>
        <w:t>Jakie są l</w:t>
      </w:r>
      <w:r w:rsidRPr="00B118A0">
        <w:rPr>
          <w:b/>
          <w:color w:val="000000" w:themeColor="text1"/>
          <w:sz w:val="24"/>
          <w:szCs w:val="24"/>
        </w:rPr>
        <w:t xml:space="preserve">imity </w:t>
      </w:r>
      <w:r w:rsidR="00B118A0" w:rsidRPr="00B118A0">
        <w:rPr>
          <w:b/>
          <w:color w:val="000000" w:themeColor="text1"/>
          <w:sz w:val="24"/>
          <w:szCs w:val="24"/>
        </w:rPr>
        <w:t>wydatków na zakup nieruchomości</w:t>
      </w:r>
      <w:r w:rsidRPr="00B118A0">
        <w:rPr>
          <w:b/>
          <w:color w:val="000000" w:themeColor="text1"/>
          <w:sz w:val="24"/>
          <w:szCs w:val="24"/>
        </w:rPr>
        <w:t>?</w:t>
      </w:r>
    </w:p>
    <w:p w:rsidR="00E54604" w:rsidRPr="00B118A0" w:rsidRDefault="00DB1949" w:rsidP="00DB1949">
      <w:pPr>
        <w:pStyle w:val="Akapitzlist"/>
        <w:spacing w:line="360" w:lineRule="auto"/>
        <w:ind w:left="0"/>
        <w:rPr>
          <w:color w:val="000000" w:themeColor="text1"/>
          <w:sz w:val="24"/>
          <w:szCs w:val="24"/>
        </w:rPr>
      </w:pPr>
      <w:r w:rsidRPr="00B118A0">
        <w:rPr>
          <w:color w:val="000000" w:themeColor="text1"/>
          <w:sz w:val="24"/>
          <w:szCs w:val="24"/>
        </w:rPr>
        <w:t xml:space="preserve">ODPOWIEDŹ: </w:t>
      </w:r>
      <w:r w:rsidR="00E54604" w:rsidRPr="00B118A0">
        <w:rPr>
          <w:color w:val="000000" w:themeColor="text1"/>
          <w:sz w:val="24"/>
          <w:szCs w:val="24"/>
        </w:rPr>
        <w:t xml:space="preserve">W ramach konkursu z działania 6.3 niekwalifikowalne są wydatki na zakup gruntu (zabudowanego i niezabudowanego) w projektach </w:t>
      </w:r>
      <w:r w:rsidR="00E54604" w:rsidRPr="00B118A0">
        <w:rPr>
          <w:color w:val="000000" w:themeColor="text1"/>
          <w:sz w:val="24"/>
          <w:szCs w:val="24"/>
          <w:u w:val="single"/>
        </w:rPr>
        <w:t>objętych pomocą publiczną</w:t>
      </w:r>
      <w:r w:rsidR="00E54604" w:rsidRPr="00B118A0">
        <w:rPr>
          <w:color w:val="000000" w:themeColor="text1"/>
          <w:sz w:val="24"/>
          <w:szCs w:val="24"/>
        </w:rPr>
        <w:t xml:space="preserve">, w tym częściowo objętych pomocą publiczną (tam gdzie występuje efekt zachęty). Nie wprowadzono dodatkowych zapisów dotyczących zakupu nieruchomości. Należy zatem postępować zgodnie z ogólnie obowiązującymi zasadami z </w:t>
      </w:r>
      <w:hyperlink r:id="rId5" w:history="1">
        <w:r w:rsidR="00E54604" w:rsidRPr="00B118A0">
          <w:rPr>
            <w:rStyle w:val="Hipercze"/>
            <w:i/>
            <w:iCs/>
            <w:color w:val="000000" w:themeColor="text1"/>
            <w:sz w:val="24"/>
            <w:szCs w:val="24"/>
          </w:rPr>
          <w:t>Wytycznych w zakresie kwalifikowalności wydatków w ramach Europejskiego Funduszu Rozwoju Regionalnego, Europejskiego Funduszu Społecznego oraz Funduszu Spójności na lata 2014-2020.</w:t>
        </w:r>
      </w:hyperlink>
      <w:r w:rsidR="00E54604" w:rsidRPr="00B118A0">
        <w:rPr>
          <w:i/>
          <w:iCs/>
          <w:color w:val="000000" w:themeColor="text1"/>
          <w:sz w:val="24"/>
          <w:szCs w:val="24"/>
        </w:rPr>
        <w:t xml:space="preserve"> , </w:t>
      </w:r>
      <w:r w:rsidR="00E54604" w:rsidRPr="00B118A0">
        <w:rPr>
          <w:color w:val="000000" w:themeColor="text1"/>
          <w:sz w:val="24"/>
          <w:szCs w:val="24"/>
        </w:rPr>
        <w:t>przede wszystkim rozdział 7.4, w którym jest mowa o limicie na wydatki związane z nabyciem nieruchomości w wysokości 10% całkowitych wydatków kwalifikowalnych projektu, przy czym w przypadku terenów poprzemysłowych oraz terenów opuszczonych, na których znajdują się budynki, limit ten wynosi 15%. Oczywiście kwalifikowalne mogą być tylko te wydatki, które bezpośrednio łączą się z projektem i są niezbędne do jego realizacji oraz ich zakres został uwzględniony w LPR.</w:t>
      </w:r>
    </w:p>
    <w:p w:rsidR="00604CB0" w:rsidRPr="00B118A0" w:rsidRDefault="00604CB0" w:rsidP="00B118A0">
      <w:pPr>
        <w:rPr>
          <w:b/>
          <w:color w:val="000000" w:themeColor="text1"/>
          <w:sz w:val="24"/>
          <w:szCs w:val="24"/>
        </w:rPr>
      </w:pPr>
      <w:r w:rsidRPr="00B118A0">
        <w:rPr>
          <w:b/>
          <w:color w:val="000000" w:themeColor="text1"/>
          <w:sz w:val="24"/>
          <w:szCs w:val="24"/>
        </w:rPr>
        <w:lastRenderedPageBreak/>
        <w:t>PYTANIE 4: Jeśli wniosek będzie obejmował prace na terenie wspólnoty mieszkaniowej (podwórko), czy wystarczy prawo do dysponowania terenem na cele budowlane od wspólnoty, czy wymagana jest np. jakaś umowa ze wspólnotą? Czy musi pojawić się zapis o trwałości projektu? Czy możliwe jest finansowanie tych prac w 100 % przez gminę, pomimo innego procentowego udziału gminy w gruncie?</w:t>
      </w:r>
    </w:p>
    <w:p w:rsidR="00E54604" w:rsidRPr="00B118A0" w:rsidRDefault="0066042B" w:rsidP="0066042B">
      <w:pPr>
        <w:pStyle w:val="Akapitzlist"/>
        <w:spacing w:line="360" w:lineRule="auto"/>
        <w:ind w:left="0"/>
        <w:rPr>
          <w:color w:val="000000" w:themeColor="text1"/>
          <w:sz w:val="24"/>
          <w:szCs w:val="24"/>
        </w:rPr>
      </w:pPr>
      <w:r w:rsidRPr="00B118A0">
        <w:rPr>
          <w:color w:val="000000" w:themeColor="text1"/>
          <w:sz w:val="24"/>
          <w:szCs w:val="24"/>
        </w:rPr>
        <w:t xml:space="preserve">ODPOWIEDŹ: </w:t>
      </w:r>
      <w:r w:rsidR="00E54604" w:rsidRPr="00B118A0">
        <w:rPr>
          <w:color w:val="000000" w:themeColor="text1"/>
          <w:sz w:val="24"/>
          <w:szCs w:val="24"/>
        </w:rPr>
        <w:t>Zgodnie z Ustawą Prawo budowlane prawo do dysponowania nieruchomością na cele budowlane to tytuł prawny wynikający z prawa własności, użytkowania wieczystego, zarządu, ograniczonego prawa rzeczowego albo stosunku zobowiązaniowego, przewidującego uprawnienia do wykonywania robót budowlanych. Źródłem stosunków zobowiązaniowych są najczęściej umowy. Nieruchomości mogą być w szczególności oddawane w dzierżawę lub najem. Umowa dzierżawy lub najmu musi przewidywać uprawnienie do wykonywania robót i obiektów budowlanych. Bez zgody wynajmującego nie wolno najemcy czynić w rzeczy najętej zmian sprzecznych z umową lub z przeznaczeniem rzeczy. Umowa powinna obejmować okres realizacji projektu i jego trwałości.</w:t>
      </w:r>
    </w:p>
    <w:p w:rsidR="00E54604" w:rsidRPr="00B118A0" w:rsidRDefault="00E54604" w:rsidP="0066042B">
      <w:pPr>
        <w:pStyle w:val="Akapitzlist"/>
        <w:spacing w:line="360" w:lineRule="auto"/>
        <w:ind w:left="0"/>
        <w:rPr>
          <w:color w:val="000000" w:themeColor="text1"/>
          <w:sz w:val="24"/>
          <w:szCs w:val="24"/>
        </w:rPr>
      </w:pPr>
      <w:r w:rsidRPr="00B118A0">
        <w:rPr>
          <w:color w:val="000000" w:themeColor="text1"/>
          <w:sz w:val="24"/>
          <w:szCs w:val="24"/>
        </w:rPr>
        <w:t>Jeżeli gmina posiada prawo do dysponowania nieruchomością i jest wnioskodawcą projektu, to może sama sfinansować inwestycję. Warto takie kwestie uregulować w umowie najmu/dzierżawy.</w:t>
      </w:r>
    </w:p>
    <w:p w:rsidR="00B93046" w:rsidRPr="00B118A0" w:rsidRDefault="00B93046" w:rsidP="00B93046">
      <w:pPr>
        <w:rPr>
          <w:b/>
          <w:color w:val="000000" w:themeColor="text1"/>
          <w:sz w:val="24"/>
          <w:szCs w:val="24"/>
        </w:rPr>
      </w:pPr>
      <w:r w:rsidRPr="00B118A0">
        <w:rPr>
          <w:b/>
          <w:color w:val="000000" w:themeColor="text1"/>
          <w:sz w:val="24"/>
          <w:szCs w:val="24"/>
        </w:rPr>
        <w:t>PYTANIE 5: Jeśli wniosek będzie obejmował prace w częściach wspólnych w budynku wspólnoty mieszkaniowej np. elewacja, dach to czy wspólnota mieszkaniowa musi partycypować w kosztach, czy gmina może pokryć koszty tych prac w 100 % i taki wniosek o dofinansowanie złożyć ?</w:t>
      </w:r>
    </w:p>
    <w:p w:rsidR="00E54604" w:rsidRPr="00B118A0" w:rsidRDefault="00B93046" w:rsidP="00B93046">
      <w:pPr>
        <w:pStyle w:val="Akapitzlist"/>
        <w:spacing w:line="360" w:lineRule="auto"/>
        <w:ind w:left="0"/>
        <w:rPr>
          <w:b/>
          <w:bCs/>
          <w:color w:val="000000" w:themeColor="text1"/>
          <w:sz w:val="24"/>
          <w:szCs w:val="24"/>
        </w:rPr>
      </w:pPr>
      <w:r w:rsidRPr="00B118A0">
        <w:rPr>
          <w:color w:val="000000" w:themeColor="text1"/>
          <w:sz w:val="24"/>
          <w:szCs w:val="24"/>
        </w:rPr>
        <w:t xml:space="preserve">ODPOWIEDŹ: </w:t>
      </w:r>
      <w:r w:rsidR="00E54604" w:rsidRPr="00B118A0">
        <w:rPr>
          <w:color w:val="000000" w:themeColor="text1"/>
          <w:sz w:val="24"/>
          <w:szCs w:val="24"/>
        </w:rPr>
        <w:t xml:space="preserve">W ramach działania 6.3 A </w:t>
      </w:r>
      <w:r w:rsidR="00E54604" w:rsidRPr="00B118A0">
        <w:rPr>
          <w:color w:val="000000" w:themeColor="text1"/>
          <w:sz w:val="24"/>
          <w:szCs w:val="24"/>
          <w:u w:val="single"/>
        </w:rPr>
        <w:t>nie ma możliwości</w:t>
      </w:r>
      <w:r w:rsidR="00E54604" w:rsidRPr="00B118A0">
        <w:rPr>
          <w:color w:val="000000" w:themeColor="text1"/>
          <w:sz w:val="24"/>
          <w:szCs w:val="24"/>
        </w:rPr>
        <w:t xml:space="preserve"> realizacji projektu polegającego na remoncie części wspólnych wielorodzinnych budynków mieszkalnych. Taki zakres projektu był możliwy do sfinansowania w działaniu </w:t>
      </w:r>
      <w:r w:rsidR="00E54604" w:rsidRPr="00B118A0">
        <w:rPr>
          <w:b/>
          <w:bCs/>
          <w:color w:val="000000" w:themeColor="text1"/>
          <w:sz w:val="24"/>
          <w:szCs w:val="24"/>
        </w:rPr>
        <w:t>6.3 B.</w:t>
      </w:r>
    </w:p>
    <w:p w:rsidR="00B93046" w:rsidRPr="00B118A0" w:rsidRDefault="00B93046" w:rsidP="00B93046">
      <w:pPr>
        <w:pStyle w:val="Default"/>
        <w:rPr>
          <w:b/>
          <w:color w:val="000000" w:themeColor="text1"/>
        </w:rPr>
      </w:pPr>
      <w:r w:rsidRPr="00B118A0">
        <w:rPr>
          <w:b/>
          <w:color w:val="000000" w:themeColor="text1"/>
        </w:rPr>
        <w:t xml:space="preserve">PYTANIE 6: Czy dostosowanie obiektu (budynku) do potrzeb osób niepełnosprawnych np. podjazd dla osób niepełnosprawnych jest wystarczające, aby zakwalifikować, go do wskaźnika </w:t>
      </w:r>
    </w:p>
    <w:p w:rsidR="00B93046" w:rsidRPr="00B118A0" w:rsidRDefault="00B93046" w:rsidP="00B93046">
      <w:pPr>
        <w:pStyle w:val="Default"/>
        <w:rPr>
          <w:b/>
          <w:color w:val="000000" w:themeColor="text1"/>
        </w:rPr>
      </w:pPr>
      <w:r w:rsidRPr="00B118A0">
        <w:rPr>
          <w:b/>
          <w:i/>
          <w:color w:val="000000" w:themeColor="text1"/>
        </w:rPr>
        <w:t>Liczba wspartych obiektów infrastruktury zlokalizowanych na rewitalizowanych obszarach</w:t>
      </w:r>
      <w:r w:rsidRPr="00B118A0">
        <w:rPr>
          <w:b/>
          <w:color w:val="000000" w:themeColor="text1"/>
        </w:rPr>
        <w:t>?</w:t>
      </w:r>
    </w:p>
    <w:p w:rsidR="00B93046" w:rsidRPr="00B118A0" w:rsidRDefault="00B93046" w:rsidP="00B93046">
      <w:pPr>
        <w:pStyle w:val="Akapitzlist"/>
        <w:spacing w:after="0" w:line="360" w:lineRule="auto"/>
        <w:ind w:left="0"/>
        <w:rPr>
          <w:color w:val="000000" w:themeColor="text1"/>
          <w:sz w:val="24"/>
          <w:szCs w:val="24"/>
        </w:rPr>
      </w:pPr>
    </w:p>
    <w:p w:rsidR="00E54604" w:rsidRPr="00B118A0" w:rsidRDefault="00B93046" w:rsidP="00B93046">
      <w:pPr>
        <w:pStyle w:val="Akapitzlist"/>
        <w:spacing w:after="0" w:line="360" w:lineRule="auto"/>
        <w:ind w:left="0"/>
        <w:rPr>
          <w:i/>
          <w:iCs/>
          <w:color w:val="000000" w:themeColor="text1"/>
          <w:sz w:val="24"/>
          <w:szCs w:val="24"/>
        </w:rPr>
      </w:pPr>
      <w:r w:rsidRPr="00B118A0">
        <w:rPr>
          <w:color w:val="000000" w:themeColor="text1"/>
          <w:sz w:val="24"/>
          <w:szCs w:val="24"/>
        </w:rPr>
        <w:t xml:space="preserve">ODPOWIEDŹ: </w:t>
      </w:r>
      <w:r w:rsidR="00E54604" w:rsidRPr="00B118A0">
        <w:rPr>
          <w:color w:val="000000" w:themeColor="text1"/>
          <w:sz w:val="24"/>
          <w:szCs w:val="24"/>
        </w:rPr>
        <w:t xml:space="preserve">Definicja wskaźnika mówi, że dotyczy on </w:t>
      </w:r>
      <w:r w:rsidR="00E54604" w:rsidRPr="00B118A0">
        <w:rPr>
          <w:i/>
          <w:iCs/>
          <w:color w:val="000000" w:themeColor="text1"/>
          <w:sz w:val="24"/>
          <w:szCs w:val="24"/>
        </w:rPr>
        <w:t xml:space="preserve">„obiektów, które zaopatrzono w specjalne podjazdy, windy, urządzenia głośnomówiące, bądź inne rozwiązania umożliwiające </w:t>
      </w:r>
      <w:r w:rsidR="00E54604" w:rsidRPr="00B118A0">
        <w:rPr>
          <w:i/>
          <w:iCs/>
          <w:color w:val="000000" w:themeColor="text1"/>
          <w:sz w:val="24"/>
          <w:szCs w:val="24"/>
        </w:rPr>
        <w:lastRenderedPageBreak/>
        <w:t>dostęp (tj. usunięcie barier w dostępie, w szczególności barier architektonicznych) do tych obiektów i poruszanie się po nich osobom niepełnosprawnym ruchowo czy sensorycznie.</w:t>
      </w:r>
    </w:p>
    <w:p w:rsidR="00E54604" w:rsidRPr="00B118A0" w:rsidRDefault="00E54604" w:rsidP="00B93046">
      <w:pPr>
        <w:pStyle w:val="Akapitzlist"/>
        <w:spacing w:after="0" w:line="360" w:lineRule="auto"/>
        <w:ind w:left="0"/>
        <w:rPr>
          <w:color w:val="000000" w:themeColor="text1"/>
          <w:sz w:val="24"/>
          <w:szCs w:val="24"/>
        </w:rPr>
      </w:pPr>
      <w:r w:rsidRPr="00B118A0">
        <w:rPr>
          <w:color w:val="000000" w:themeColor="text1"/>
          <w:sz w:val="24"/>
          <w:szCs w:val="24"/>
        </w:rPr>
        <w:t>Jako</w:t>
      </w:r>
      <w:r w:rsidRPr="00B118A0">
        <w:rPr>
          <w:i/>
          <w:iCs/>
          <w:color w:val="000000" w:themeColor="text1"/>
          <w:sz w:val="24"/>
          <w:szCs w:val="24"/>
        </w:rPr>
        <w:t xml:space="preserve"> obiekty budowlane </w:t>
      </w:r>
      <w:r w:rsidRPr="00B118A0">
        <w:rPr>
          <w:color w:val="000000" w:themeColor="text1"/>
          <w:sz w:val="24"/>
          <w:szCs w:val="24"/>
        </w:rPr>
        <w:t>należy rozumieć</w:t>
      </w:r>
      <w:r w:rsidRPr="00B118A0">
        <w:rPr>
          <w:i/>
          <w:iCs/>
          <w:color w:val="000000" w:themeColor="text1"/>
          <w:sz w:val="24"/>
          <w:szCs w:val="24"/>
        </w:rPr>
        <w:t xml:space="preserve"> konstrukcje połączone z gruntem w sposób trwały, wykonane z materiałów budowlanych i elementów składowych, będące wynikiem prac budowlanych (wg. def. PKOB).</w:t>
      </w:r>
      <w:r w:rsidRPr="00B118A0">
        <w:rPr>
          <w:color w:val="000000" w:themeColor="text1"/>
          <w:sz w:val="24"/>
          <w:szCs w:val="24"/>
        </w:rPr>
        <w:t xml:space="preserve">” Jeżeli Państwa projekt uwzględnia budowę podjazdu dla osób z niepełnosprawnością, to należy ten budynek ująć we wspomnianym wskaźniku (w ilości budynków [szt]). </w:t>
      </w:r>
    </w:p>
    <w:p w:rsidR="00E54604" w:rsidRPr="00B118A0" w:rsidRDefault="00E54604" w:rsidP="00E54604">
      <w:pPr>
        <w:rPr>
          <w:b/>
          <w:bCs/>
          <w:color w:val="000000" w:themeColor="text1"/>
          <w:sz w:val="24"/>
          <w:szCs w:val="24"/>
        </w:rPr>
      </w:pPr>
    </w:p>
    <w:p w:rsidR="00E54604" w:rsidRDefault="00E54604" w:rsidP="00E54604">
      <w:pPr>
        <w:rPr>
          <w:b/>
          <w:bCs/>
          <w:color w:val="1F4E79"/>
        </w:rPr>
      </w:pPr>
    </w:p>
    <w:p w:rsidR="00E54604" w:rsidRDefault="00E54604" w:rsidP="00E54604">
      <w:pPr>
        <w:pStyle w:val="Default"/>
      </w:pPr>
    </w:p>
    <w:p w:rsidR="00A81B5C" w:rsidRDefault="00A81B5C"/>
    <w:sectPr w:rsidR="00A81B5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F3FC6"/>
    <w:multiLevelType w:val="hybridMultilevel"/>
    <w:tmpl w:val="D0ECA64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04"/>
    <w:rsid w:val="00195A33"/>
    <w:rsid w:val="00303E08"/>
    <w:rsid w:val="00305AE7"/>
    <w:rsid w:val="0048293B"/>
    <w:rsid w:val="00604CB0"/>
    <w:rsid w:val="00655300"/>
    <w:rsid w:val="0066042B"/>
    <w:rsid w:val="00A81B5C"/>
    <w:rsid w:val="00B118A0"/>
    <w:rsid w:val="00B37693"/>
    <w:rsid w:val="00B93046"/>
    <w:rsid w:val="00DB1949"/>
    <w:rsid w:val="00E54604"/>
    <w:rsid w:val="00F51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586E5B-7F7E-4B22-BD98-88678D45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4604"/>
    <w:rPr>
      <w:color w:val="0563C1"/>
      <w:u w:val="single"/>
    </w:rPr>
  </w:style>
  <w:style w:type="paragraph" w:styleId="NormalnyWeb">
    <w:name w:val="Normal (Web)"/>
    <w:basedOn w:val="Normalny"/>
    <w:uiPriority w:val="99"/>
    <w:semiHidden/>
    <w:unhideWhenUsed/>
    <w:rsid w:val="00E54604"/>
    <w:pPr>
      <w:spacing w:before="100" w:beforeAutospacing="1" w:after="100" w:afterAutospacing="1" w:line="276" w:lineRule="auto"/>
    </w:pPr>
    <w:rPr>
      <w:rFonts w:ascii="Calibri" w:eastAsia="Times New Roman" w:hAnsi="Calibri"/>
      <w:color w:val="000000"/>
      <w:lang w:eastAsia="en-US"/>
    </w:rPr>
  </w:style>
  <w:style w:type="paragraph" w:styleId="Akapitzlist">
    <w:name w:val="List Paragraph"/>
    <w:basedOn w:val="Normalny"/>
    <w:uiPriority w:val="34"/>
    <w:qFormat/>
    <w:rsid w:val="00E54604"/>
    <w:pPr>
      <w:spacing w:after="200" w:line="276" w:lineRule="auto"/>
      <w:ind w:left="720"/>
    </w:pPr>
    <w:rPr>
      <w:rFonts w:ascii="Calibri" w:eastAsia="Times New Roman" w:hAnsi="Calibri"/>
      <w:color w:val="000000"/>
      <w:lang w:eastAsia="en-US"/>
    </w:rPr>
  </w:style>
  <w:style w:type="paragraph" w:customStyle="1" w:styleId="Default">
    <w:name w:val="Default"/>
    <w:basedOn w:val="Normalny"/>
    <w:uiPriority w:val="99"/>
    <w:semiHidden/>
    <w:rsid w:val="00E54604"/>
    <w:pPr>
      <w:autoSpaceDE w:val="0"/>
      <w:autoSpaceDN w:val="0"/>
      <w:spacing w:after="0" w:line="240" w:lineRule="auto"/>
    </w:pPr>
    <w:rPr>
      <w:rFonts w:ascii="Calibri" w:eastAsia="Times New Roman" w:hAnsi="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6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nduszeeuropejskie.gov.pl/media/27633/Wytyczne_w_zakresie_kwalifikowalnosci.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4444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Lisiecka-Mika</dc:creator>
  <cp:keywords/>
  <dc:description/>
  <cp:lastModifiedBy>Katarzyna Lisiecka-Mika</cp:lastModifiedBy>
  <cp:revision>2</cp:revision>
  <dcterms:created xsi:type="dcterms:W3CDTF">2017-02-20T09:23:00Z</dcterms:created>
  <dcterms:modified xsi:type="dcterms:W3CDTF">2017-02-20T09:23:00Z</dcterms:modified>
</cp:coreProperties>
</file>