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8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5E51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5E51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5E51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5E51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5E51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5E5199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5E5199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5E519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5E519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5E5199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5E5199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5E5199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</w:t>
      </w:r>
      <w:r w:rsidR="005E5199">
        <w:rPr>
          <w:rFonts w:asciiTheme="minorHAnsi" w:hAnsiTheme="minorHAnsi"/>
          <w:b/>
          <w:sz w:val="20"/>
          <w:szCs w:val="20"/>
        </w:rPr>
        <w:t>semnego poinformowania IPAW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5E5199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5E5199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199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E1BD7B-3006-4919-9390-9092EE6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E3CE-F37C-4605-8DD9-35232917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5424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3</cp:revision>
  <cp:lastPrinted>2015-10-08T06:42:00Z</cp:lastPrinted>
  <dcterms:created xsi:type="dcterms:W3CDTF">2016-03-21T14:05:00Z</dcterms:created>
  <dcterms:modified xsi:type="dcterms:W3CDTF">2016-10-21T10:36:00Z</dcterms:modified>
</cp:coreProperties>
</file>