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447E7" w14:textId="743394A2" w:rsidR="00314097" w:rsidRDefault="00B71741" w:rsidP="00314097">
      <w:pPr>
        <w:rPr>
          <w:sz w:val="18"/>
          <w:szCs w:val="18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314097" w:rsidRPr="00314097">
        <w:rPr>
          <w:sz w:val="20"/>
        </w:rPr>
        <w:t xml:space="preserve"> </w:t>
      </w:r>
      <w:r w:rsidR="00314097">
        <w:rPr>
          <w:sz w:val="20"/>
        </w:rPr>
        <w:t>24 stycznia 2022 r.</w:t>
      </w:r>
    </w:p>
    <w:p w14:paraId="42E051F2" w14:textId="4B075ACF" w:rsidR="00167871" w:rsidRDefault="00A4251D" w:rsidP="00167871">
      <w:pPr>
        <w:rPr>
          <w:sz w:val="20"/>
        </w:rPr>
      </w:pPr>
      <w:r w:rsidRPr="00A4251D">
        <w:rPr>
          <w:sz w:val="20"/>
        </w:rPr>
        <w:t xml:space="preserve"> 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4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  <w:bookmarkEnd w:id="14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lastRenderedPageBreak/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pomieszczeń, wyposażenie pomieszczeń w meble, remont/modernizacja klatki schodowej, </w:t>
      </w:r>
      <w:r w:rsidRPr="00DD0783">
        <w:rPr>
          <w:rFonts w:eastAsia="Times New Roman" w:cs="Times New Roman"/>
        </w:rPr>
        <w:lastRenderedPageBreak/>
        <w:t>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7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7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20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20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1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1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2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2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4" w:name="_Hlk21428619"/>
      <w:bookmarkEnd w:id="23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4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7AC4E6B4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jednostek chorobowych określonych  w ogłoszeniu o naborze – </w:t>
      </w:r>
      <w:r w:rsidRPr="00DD0783">
        <w:rPr>
          <w:u w:val="single"/>
        </w:rPr>
        <w:t>szczegółowe uregulowania zawarte są w regulaminach konkursów</w:t>
      </w:r>
    </w:p>
    <w:p w14:paraId="1E27ACF6" w14:textId="467EE043" w:rsidR="005216DA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 xml:space="preserve">w tym dostępności dla osób </w:t>
      </w:r>
      <w:r w:rsidRPr="00283995">
        <w:rPr>
          <w:rFonts w:eastAsia="Times New Roman" w:cs="Times New Roman"/>
        </w:rPr>
        <w:lastRenderedPageBreak/>
        <w:t>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>naboru na zakup ruchomych środków trwałych i WNiP</w:t>
      </w:r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lastRenderedPageBreak/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lastRenderedPageBreak/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8B8B0" w14:textId="77777777" w:rsidR="00D4391F" w:rsidRDefault="00D4391F" w:rsidP="00BA376B">
      <w:pPr>
        <w:spacing w:after="0" w:line="240" w:lineRule="auto"/>
      </w:pPr>
      <w:r>
        <w:separator/>
      </w:r>
    </w:p>
  </w:endnote>
  <w:endnote w:type="continuationSeparator" w:id="0">
    <w:p w14:paraId="3BB795C4" w14:textId="77777777" w:rsidR="00D4391F" w:rsidRDefault="00D4391F" w:rsidP="00BA376B">
      <w:pPr>
        <w:spacing w:after="0" w:line="240" w:lineRule="auto"/>
      </w:pPr>
      <w:r>
        <w:continuationSeparator/>
      </w:r>
    </w:p>
  </w:endnote>
  <w:endnote w:type="continuationNotice" w:id="1">
    <w:p w14:paraId="55C9609D" w14:textId="77777777" w:rsidR="00D4391F" w:rsidRDefault="00D43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11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05E7" w14:textId="77777777" w:rsidR="00D4391F" w:rsidRDefault="00D4391F" w:rsidP="00BA376B">
      <w:pPr>
        <w:spacing w:after="0" w:line="240" w:lineRule="auto"/>
      </w:pPr>
      <w:r>
        <w:separator/>
      </w:r>
    </w:p>
  </w:footnote>
  <w:footnote w:type="continuationSeparator" w:id="0">
    <w:p w14:paraId="0CF896E7" w14:textId="77777777" w:rsidR="00D4391F" w:rsidRDefault="00D4391F" w:rsidP="00BA376B">
      <w:pPr>
        <w:spacing w:after="0" w:line="240" w:lineRule="auto"/>
      </w:pPr>
      <w:r>
        <w:continuationSeparator/>
      </w:r>
    </w:p>
  </w:footnote>
  <w:footnote w:type="continuationNotice" w:id="1">
    <w:p w14:paraId="21B12231" w14:textId="77777777" w:rsidR="00D4391F" w:rsidRDefault="00D4391F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492464795"/>
      <w:r w:rsidRPr="00013AFB">
        <w:t>Dotyczy konkursów ogłaszanych od dnia 16.01.2017 r. Dla konkursów ogłaszanych przed 16.01.2017 r. – zapis nieobowiązujący.</w:t>
      </w:r>
      <w:bookmarkEnd w:id="15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6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6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8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8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9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9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097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3116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91F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A3F0F-9D08-4289-8D20-BB367DC0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10503</Words>
  <Characters>63019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2021-06-22T08:24:00Z</cp:lastPrinted>
  <dcterms:created xsi:type="dcterms:W3CDTF">2022-01-25T09:39:00Z</dcterms:created>
  <dcterms:modified xsi:type="dcterms:W3CDTF">2022-01-25T09:39:00Z</dcterms:modified>
</cp:coreProperties>
</file>