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4C" w:rsidRPr="00436944" w:rsidRDefault="00890C4C" w:rsidP="00341F0C">
      <w:pPr>
        <w:pStyle w:val="Nagwek"/>
        <w:tabs>
          <w:tab w:val="clear" w:pos="4536"/>
        </w:tabs>
        <w:spacing w:before="120" w:after="120"/>
        <w:jc w:val="both"/>
        <w:rPr>
          <w:rFonts w:ascii="Calibri" w:hAnsi="Calibri" w:cs="Calibri"/>
          <w:b/>
        </w:rPr>
      </w:pPr>
      <w:bookmarkStart w:id="0" w:name="_GoBack"/>
      <w:bookmarkEnd w:id="0"/>
      <w:r w:rsidRPr="00436944">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436944" w:rsidRDefault="002533D1" w:rsidP="00341F0C">
      <w:pPr>
        <w:spacing w:line="360" w:lineRule="auto"/>
        <w:jc w:val="both"/>
        <w:rPr>
          <w:rFonts w:ascii="Calibri" w:hAnsi="Calibri" w:cs="Calibri"/>
          <w:b/>
          <w:sz w:val="28"/>
          <w:szCs w:val="28"/>
        </w:rPr>
      </w:pPr>
    </w:p>
    <w:p w:rsidR="008C79E0" w:rsidRPr="00436944" w:rsidRDefault="008C79E0" w:rsidP="00341F0C">
      <w:pPr>
        <w:spacing w:line="360" w:lineRule="auto"/>
        <w:jc w:val="center"/>
        <w:rPr>
          <w:rFonts w:ascii="Calibri" w:hAnsi="Calibri" w:cs="Calibri"/>
          <w:b/>
          <w:sz w:val="28"/>
          <w:szCs w:val="28"/>
        </w:rPr>
      </w:pPr>
      <w:r w:rsidRPr="00436944">
        <w:rPr>
          <w:rFonts w:ascii="Calibri" w:hAnsi="Calibri" w:cs="Calibri"/>
          <w:b/>
          <w:sz w:val="28"/>
          <w:szCs w:val="28"/>
        </w:rPr>
        <w:t>ZINTEGROWANE INWESTYCJE TERYTORIALNE AGLOMERACJI WAŁBRZYSKIEJ</w:t>
      </w:r>
    </w:p>
    <w:p w:rsidR="008C79E0" w:rsidRPr="00436944" w:rsidRDefault="008C79E0" w:rsidP="00341F0C">
      <w:pPr>
        <w:spacing w:line="360" w:lineRule="auto"/>
        <w:jc w:val="center"/>
        <w:rPr>
          <w:rFonts w:ascii="Calibri" w:hAnsi="Calibri" w:cs="Calibri"/>
          <w:b/>
          <w:sz w:val="28"/>
          <w:szCs w:val="28"/>
        </w:rPr>
      </w:pPr>
      <w:r w:rsidRPr="00436944">
        <w:rPr>
          <w:rFonts w:ascii="Calibri" w:hAnsi="Calibri" w:cs="Calibri"/>
          <w:b/>
          <w:sz w:val="28"/>
          <w:szCs w:val="28"/>
        </w:rPr>
        <w:t>- Gmina Wałbrzych pełniąca rolę lidera ZIT AW oraz Instytucji Pośredniczącej w ramach instrumentu Zintegrowane Inwestycje Terytorialne</w:t>
      </w:r>
    </w:p>
    <w:p w:rsidR="008C79E0" w:rsidRPr="00436944" w:rsidRDefault="008C79E0" w:rsidP="00341F0C">
      <w:pPr>
        <w:spacing w:line="360" w:lineRule="auto"/>
        <w:jc w:val="center"/>
        <w:rPr>
          <w:rFonts w:ascii="Calibri" w:hAnsi="Calibri" w:cs="Calibri"/>
          <w:b/>
          <w:sz w:val="28"/>
          <w:szCs w:val="28"/>
        </w:rPr>
      </w:pPr>
      <w:r w:rsidRPr="00436944">
        <w:rPr>
          <w:rFonts w:ascii="Calibri" w:hAnsi="Calibri" w:cs="Calibri"/>
          <w:b/>
          <w:sz w:val="28"/>
          <w:szCs w:val="28"/>
        </w:rPr>
        <w:t>Regionalnego Programu Operacyjnego Województwa Dolnośląskiego 2014-2020</w:t>
      </w:r>
    </w:p>
    <w:p w:rsidR="008C79E0" w:rsidRPr="00436944" w:rsidRDefault="008C79E0" w:rsidP="00341F0C">
      <w:pPr>
        <w:autoSpaceDE w:val="0"/>
        <w:spacing w:line="360" w:lineRule="auto"/>
        <w:contextualSpacing/>
        <w:jc w:val="center"/>
        <w:rPr>
          <w:rFonts w:ascii="Calibri" w:hAnsi="Calibri" w:cs="Calibri"/>
          <w:b/>
          <w:bCs/>
          <w:sz w:val="28"/>
          <w:szCs w:val="28"/>
        </w:rPr>
      </w:pPr>
      <w:r w:rsidRPr="00436944">
        <w:rPr>
          <w:rFonts w:ascii="Calibri" w:hAnsi="Calibri" w:cs="Calibri"/>
          <w:b/>
          <w:bCs/>
          <w:sz w:val="28"/>
          <w:szCs w:val="28"/>
        </w:rPr>
        <w:t>ogłasza nabór wniosków o dofinansowanie realizacji projektów</w:t>
      </w:r>
    </w:p>
    <w:p w:rsidR="008C79E0" w:rsidRPr="00436944" w:rsidRDefault="008C79E0" w:rsidP="00341F0C">
      <w:pPr>
        <w:autoSpaceDE w:val="0"/>
        <w:spacing w:line="360" w:lineRule="auto"/>
        <w:contextualSpacing/>
        <w:jc w:val="center"/>
        <w:rPr>
          <w:rFonts w:ascii="Calibri" w:hAnsi="Calibri" w:cs="Calibri"/>
          <w:b/>
          <w:bCs/>
          <w:sz w:val="28"/>
          <w:szCs w:val="28"/>
        </w:rPr>
      </w:pPr>
      <w:r w:rsidRPr="00436944">
        <w:rPr>
          <w:rFonts w:ascii="Calibri" w:hAnsi="Calibri" w:cs="Calibri"/>
          <w:b/>
          <w:bCs/>
          <w:sz w:val="28"/>
          <w:szCs w:val="28"/>
        </w:rPr>
        <w:t>ze środków Europejskiego Funduszu Rozwoju Regionalnego</w:t>
      </w:r>
    </w:p>
    <w:p w:rsidR="008C79E0" w:rsidRPr="00436944" w:rsidRDefault="008C79E0" w:rsidP="00341F0C">
      <w:pPr>
        <w:autoSpaceDE w:val="0"/>
        <w:spacing w:line="360" w:lineRule="auto"/>
        <w:contextualSpacing/>
        <w:jc w:val="center"/>
        <w:rPr>
          <w:rFonts w:ascii="Calibri" w:hAnsi="Calibri" w:cs="Calibri"/>
          <w:b/>
          <w:bCs/>
          <w:sz w:val="28"/>
          <w:szCs w:val="28"/>
        </w:rPr>
      </w:pPr>
      <w:r w:rsidRPr="00436944">
        <w:rPr>
          <w:rFonts w:ascii="Calibri" w:hAnsi="Calibri" w:cs="Calibri"/>
          <w:b/>
          <w:bCs/>
          <w:sz w:val="28"/>
          <w:szCs w:val="28"/>
        </w:rPr>
        <w:t>w  ramach Regionalnego Programu Operacyjnego Województwa Dolnośląskiego 2014-2020</w:t>
      </w:r>
    </w:p>
    <w:p w:rsidR="00292030" w:rsidRPr="00436944" w:rsidRDefault="00292030" w:rsidP="00292030">
      <w:pPr>
        <w:pStyle w:val="Nagwek"/>
        <w:spacing w:before="120" w:after="120"/>
        <w:jc w:val="center"/>
        <w:rPr>
          <w:rFonts w:ascii="Calibri" w:hAnsi="Calibri" w:cs="Arial"/>
          <w:b/>
          <w:sz w:val="32"/>
          <w:szCs w:val="32"/>
        </w:rPr>
      </w:pPr>
      <w:r w:rsidRPr="00436944">
        <w:rPr>
          <w:rFonts w:ascii="Calibri" w:hAnsi="Calibri" w:cs="Arial"/>
          <w:b/>
          <w:sz w:val="32"/>
          <w:szCs w:val="32"/>
        </w:rPr>
        <w:t>Osi priorytetowej 3</w:t>
      </w:r>
    </w:p>
    <w:p w:rsidR="00292030" w:rsidRPr="00436944" w:rsidRDefault="00292030" w:rsidP="00292030">
      <w:pPr>
        <w:pStyle w:val="Nagwek"/>
        <w:spacing w:before="120" w:after="120"/>
        <w:jc w:val="center"/>
        <w:rPr>
          <w:rFonts w:ascii="Calibri" w:hAnsi="Calibri" w:cs="Arial"/>
          <w:b/>
          <w:sz w:val="32"/>
          <w:szCs w:val="32"/>
        </w:rPr>
      </w:pPr>
      <w:r w:rsidRPr="00436944">
        <w:rPr>
          <w:rFonts w:ascii="Calibri" w:hAnsi="Calibri" w:cs="Arial"/>
          <w:b/>
          <w:sz w:val="32"/>
          <w:szCs w:val="32"/>
        </w:rPr>
        <w:t xml:space="preserve">  Gospodarka niskoemisyjna</w:t>
      </w:r>
      <w:r w:rsidRPr="00436944" w:rsidDel="005117B8">
        <w:rPr>
          <w:rFonts w:ascii="Calibri" w:hAnsi="Calibri" w:cs="Arial"/>
          <w:b/>
          <w:sz w:val="32"/>
          <w:szCs w:val="32"/>
        </w:rPr>
        <w:t xml:space="preserve"> </w:t>
      </w:r>
    </w:p>
    <w:p w:rsidR="00292030" w:rsidRPr="00436944" w:rsidRDefault="00292030" w:rsidP="00292030">
      <w:pPr>
        <w:pStyle w:val="Nagwek"/>
        <w:spacing w:before="120" w:after="120"/>
        <w:jc w:val="center"/>
        <w:rPr>
          <w:rFonts w:ascii="Calibri" w:hAnsi="Calibri" w:cs="Arial"/>
          <w:b/>
          <w:sz w:val="32"/>
          <w:szCs w:val="32"/>
        </w:rPr>
      </w:pPr>
    </w:p>
    <w:p w:rsidR="00292030" w:rsidRPr="00436944" w:rsidRDefault="00292030" w:rsidP="00292030">
      <w:pPr>
        <w:jc w:val="center"/>
        <w:rPr>
          <w:rFonts w:ascii="Calibri" w:hAnsi="Calibri"/>
          <w:b/>
          <w:sz w:val="32"/>
          <w:szCs w:val="32"/>
          <w:u w:val="single"/>
        </w:rPr>
      </w:pPr>
      <w:r w:rsidRPr="00436944">
        <w:rPr>
          <w:rFonts w:ascii="Calibri" w:hAnsi="Calibri" w:cs="Arial"/>
          <w:b/>
          <w:sz w:val="32"/>
          <w:szCs w:val="32"/>
          <w:u w:val="single"/>
        </w:rPr>
        <w:t xml:space="preserve">Działanie 3.4 </w:t>
      </w:r>
      <w:r w:rsidRPr="00436944">
        <w:rPr>
          <w:rFonts w:ascii="Calibri" w:hAnsi="Calibri"/>
          <w:b/>
          <w:sz w:val="32"/>
          <w:szCs w:val="32"/>
          <w:u w:val="single"/>
        </w:rPr>
        <w:t>Efektywność energetyczna w budynkach użyteczności publicznej i sektorze mieszkaniowym</w:t>
      </w:r>
    </w:p>
    <w:p w:rsidR="00292030" w:rsidRPr="00436944" w:rsidRDefault="00292030" w:rsidP="00292030">
      <w:pPr>
        <w:jc w:val="center"/>
        <w:rPr>
          <w:rFonts w:ascii="Calibri" w:hAnsi="Calibri" w:cs="Times New Roman"/>
          <w:b/>
          <w:szCs w:val="20"/>
        </w:rPr>
      </w:pPr>
      <w:r w:rsidRPr="00436944">
        <w:rPr>
          <w:rFonts w:ascii="Calibri" w:hAnsi="Calibri" w:cs="Arial"/>
          <w:b/>
          <w:sz w:val="32"/>
          <w:szCs w:val="32"/>
        </w:rPr>
        <w:t xml:space="preserve">Poddziałanie 3.3.4 </w:t>
      </w:r>
      <w:r w:rsidRPr="00436944">
        <w:rPr>
          <w:rFonts w:ascii="Calibri" w:hAnsi="Calibri"/>
          <w:b/>
          <w:sz w:val="32"/>
          <w:szCs w:val="32"/>
        </w:rPr>
        <w:t xml:space="preserve">Efektywność energetyczna w budynkach użyteczności publicznej i sektorze mieszkaniowym </w:t>
      </w:r>
      <w:r w:rsidRPr="00436944">
        <w:rPr>
          <w:rFonts w:ascii="Calibri" w:hAnsi="Calibri" w:cs="Arial"/>
          <w:b/>
          <w:sz w:val="32"/>
          <w:szCs w:val="32"/>
        </w:rPr>
        <w:t>– ZIT AW</w:t>
      </w:r>
      <w:bookmarkStart w:id="1" w:name="_Toc422949625"/>
      <w:bookmarkStart w:id="2" w:name="_Toc430826812"/>
    </w:p>
    <w:p w:rsidR="00292030" w:rsidRPr="00436944" w:rsidRDefault="00292030" w:rsidP="00292030">
      <w:pPr>
        <w:spacing w:before="30" w:after="30"/>
        <w:jc w:val="center"/>
        <w:rPr>
          <w:rFonts w:ascii="Calibri" w:hAnsi="Calibri" w:cs="Arial"/>
          <w:b/>
        </w:rPr>
      </w:pPr>
    </w:p>
    <w:p w:rsidR="00292030" w:rsidRPr="00436944" w:rsidRDefault="00292030" w:rsidP="00292030">
      <w:pPr>
        <w:spacing w:before="30" w:after="30"/>
        <w:jc w:val="center"/>
        <w:rPr>
          <w:rFonts w:ascii="Calibri" w:hAnsi="Calibri" w:cs="Arial"/>
          <w:b/>
        </w:rPr>
      </w:pPr>
      <w:r w:rsidRPr="00436944">
        <w:rPr>
          <w:rFonts w:ascii="Calibri" w:hAnsi="Calibri" w:cs="Arial"/>
          <w:b/>
        </w:rPr>
        <w:t xml:space="preserve">(typ 3.3 e: Modernizacja systemów grzewczych i odnawialne źródła energii </w:t>
      </w:r>
    </w:p>
    <w:p w:rsidR="00292030" w:rsidRPr="00436944" w:rsidRDefault="00292030" w:rsidP="00292030">
      <w:pPr>
        <w:spacing w:before="30" w:after="30"/>
        <w:jc w:val="center"/>
        <w:rPr>
          <w:rFonts w:ascii="Calibri" w:hAnsi="Calibri" w:cs="Arial"/>
          <w:b/>
        </w:rPr>
      </w:pPr>
      <w:r w:rsidRPr="00436944">
        <w:rPr>
          <w:rFonts w:ascii="Calibri" w:hAnsi="Calibri" w:cs="Arial"/>
          <w:b/>
        </w:rPr>
        <w:t>- projekty dotyczące zwalczania emisji kominowej)</w:t>
      </w:r>
    </w:p>
    <w:p w:rsidR="00292030" w:rsidRPr="00436944" w:rsidRDefault="00292030" w:rsidP="00292030">
      <w:pPr>
        <w:spacing w:after="76"/>
        <w:jc w:val="center"/>
        <w:rPr>
          <w:rFonts w:ascii="Calibri" w:hAnsi="Calibri"/>
          <w:b/>
        </w:rPr>
      </w:pPr>
    </w:p>
    <w:p w:rsidR="00292030" w:rsidRPr="00436944" w:rsidRDefault="00292030" w:rsidP="00292030">
      <w:pPr>
        <w:spacing w:after="76"/>
        <w:jc w:val="center"/>
        <w:rPr>
          <w:rFonts w:ascii="Calibri" w:hAnsi="Calibri"/>
          <w:b/>
        </w:rPr>
      </w:pPr>
      <w:r w:rsidRPr="00436944">
        <w:rPr>
          <w:rFonts w:ascii="Calibri" w:hAnsi="Calibri"/>
          <w:b/>
        </w:rPr>
        <w:t xml:space="preserve">PROJEKTY </w:t>
      </w:r>
      <w:r w:rsidR="00CA5A48">
        <w:rPr>
          <w:rFonts w:ascii="Calibri" w:hAnsi="Calibri"/>
          <w:b/>
        </w:rPr>
        <w:t>NIE</w:t>
      </w:r>
      <w:r w:rsidRPr="00436944">
        <w:rPr>
          <w:rFonts w:ascii="Calibri" w:hAnsi="Calibri"/>
          <w:b/>
        </w:rPr>
        <w:t>GRANTO</w:t>
      </w:r>
      <w:r w:rsidR="00CA5A48">
        <w:rPr>
          <w:rFonts w:ascii="Calibri" w:hAnsi="Calibri"/>
          <w:b/>
        </w:rPr>
        <w:t>WE</w:t>
      </w:r>
    </w:p>
    <w:bookmarkEnd w:id="1"/>
    <w:bookmarkEnd w:id="2"/>
    <w:p w:rsidR="00292030" w:rsidRPr="00436944" w:rsidRDefault="00292030" w:rsidP="00292030">
      <w:pPr>
        <w:tabs>
          <w:tab w:val="left" w:pos="2835"/>
        </w:tabs>
        <w:rPr>
          <w:rFonts w:ascii="Calibri" w:hAnsi="Calibri"/>
          <w:b/>
        </w:rPr>
      </w:pPr>
    </w:p>
    <w:p w:rsidR="00292030" w:rsidRPr="00436944" w:rsidRDefault="00292030" w:rsidP="00292030">
      <w:pPr>
        <w:jc w:val="center"/>
        <w:rPr>
          <w:rFonts w:ascii="Calibri" w:hAnsi="Calibri"/>
          <w:b/>
          <w:sz w:val="28"/>
          <w:szCs w:val="28"/>
        </w:rPr>
      </w:pPr>
      <w:r w:rsidRPr="00436944">
        <w:rPr>
          <w:rFonts w:ascii="Calibri" w:hAnsi="Calibri"/>
          <w:b/>
          <w:sz w:val="28"/>
          <w:szCs w:val="28"/>
        </w:rPr>
        <w:t>Nr naboru RPDS.03.03.04-IP.03-02-</w:t>
      </w:r>
      <w:r w:rsidR="00EF7D06">
        <w:rPr>
          <w:rFonts w:ascii="Calibri" w:hAnsi="Calibri"/>
          <w:b/>
          <w:sz w:val="28"/>
          <w:szCs w:val="28"/>
        </w:rPr>
        <w:t>334</w:t>
      </w:r>
      <w:r w:rsidRPr="00436944">
        <w:rPr>
          <w:rFonts w:ascii="Calibri" w:hAnsi="Calibri"/>
          <w:b/>
          <w:sz w:val="28"/>
          <w:szCs w:val="28"/>
        </w:rPr>
        <w:t>/18</w:t>
      </w:r>
    </w:p>
    <w:p w:rsidR="008C79E0" w:rsidRPr="00436944" w:rsidRDefault="0078191D" w:rsidP="00341F0C">
      <w:pPr>
        <w:jc w:val="center"/>
        <w:rPr>
          <w:rFonts w:ascii="Calibri" w:hAnsi="Calibri"/>
          <w:b/>
          <w:sz w:val="28"/>
          <w:szCs w:val="28"/>
        </w:rPr>
      </w:pPr>
      <w:r>
        <w:rPr>
          <w:rFonts w:ascii="Calibri" w:hAnsi="Calibri"/>
          <w:b/>
          <w:sz w:val="28"/>
          <w:szCs w:val="28"/>
        </w:rPr>
        <w:t>grudzień</w:t>
      </w:r>
      <w:r w:rsidRPr="00436944">
        <w:rPr>
          <w:rFonts w:ascii="Calibri" w:hAnsi="Calibri"/>
          <w:b/>
          <w:sz w:val="28"/>
          <w:szCs w:val="28"/>
        </w:rPr>
        <w:t xml:space="preserve"> </w:t>
      </w:r>
      <w:r w:rsidR="008C79E0" w:rsidRPr="00436944">
        <w:rPr>
          <w:rFonts w:ascii="Calibri" w:hAnsi="Calibri"/>
          <w:b/>
          <w:sz w:val="28"/>
          <w:szCs w:val="28"/>
        </w:rPr>
        <w:t>2018 r.</w:t>
      </w:r>
    </w:p>
    <w:p w:rsidR="005D5A8F" w:rsidRPr="00436944" w:rsidRDefault="005D5A8F" w:rsidP="00341F0C">
      <w:pPr>
        <w:tabs>
          <w:tab w:val="left" w:pos="2835"/>
        </w:tabs>
        <w:spacing w:line="240" w:lineRule="auto"/>
        <w:jc w:val="both"/>
        <w:rPr>
          <w:b/>
          <w:u w:val="single"/>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436944" w:rsidRPr="00436944" w:rsidTr="00730B1A">
        <w:trPr>
          <w:trHeight w:val="2117"/>
        </w:trPr>
        <w:tc>
          <w:tcPr>
            <w:tcW w:w="534" w:type="dxa"/>
          </w:tcPr>
          <w:p w:rsidR="00805E31" w:rsidRPr="00436944" w:rsidRDefault="00805E31" w:rsidP="00730B1A">
            <w:pPr>
              <w:autoSpaceDE w:val="0"/>
              <w:autoSpaceDN w:val="0"/>
              <w:adjustRightInd w:val="0"/>
              <w:spacing w:after="0" w:line="240" w:lineRule="auto"/>
              <w:jc w:val="both"/>
              <w:rPr>
                <w:rFonts w:cs="Calibri"/>
                <w:b/>
                <w:bCs/>
              </w:rPr>
            </w:pPr>
            <w:r w:rsidRPr="00436944">
              <w:rPr>
                <w:rFonts w:cs="Calibri"/>
                <w:b/>
                <w:bCs/>
              </w:rPr>
              <w:t>1.</w:t>
            </w:r>
          </w:p>
        </w:tc>
        <w:tc>
          <w:tcPr>
            <w:tcW w:w="2268" w:type="dxa"/>
          </w:tcPr>
          <w:p w:rsidR="00805E31" w:rsidRPr="00436944" w:rsidRDefault="007C46DB" w:rsidP="00730B1A">
            <w:pPr>
              <w:pStyle w:val="Nagwek1"/>
              <w:spacing w:before="0" w:after="0" w:line="240" w:lineRule="auto"/>
              <w:jc w:val="both"/>
              <w:rPr>
                <w:rFonts w:asciiTheme="minorHAnsi" w:hAnsiTheme="minorHAnsi"/>
                <w:sz w:val="22"/>
                <w:szCs w:val="22"/>
              </w:rPr>
            </w:pPr>
            <w:r w:rsidRPr="00436944">
              <w:rPr>
                <w:rFonts w:asciiTheme="minorHAnsi" w:hAnsiTheme="minorHAnsi"/>
                <w:sz w:val="22"/>
                <w:szCs w:val="22"/>
              </w:rPr>
              <w:t>I</w:t>
            </w:r>
            <w:r w:rsidR="00805E31" w:rsidRPr="00436944">
              <w:rPr>
                <w:rFonts w:asciiTheme="minorHAnsi" w:hAnsiTheme="minorHAnsi"/>
                <w:sz w:val="22"/>
                <w:szCs w:val="22"/>
              </w:rPr>
              <w:t>nformacje ogólne</w:t>
            </w:r>
          </w:p>
          <w:p w:rsidR="00805E31" w:rsidRPr="00436944" w:rsidRDefault="00805E31" w:rsidP="00730B1A">
            <w:pPr>
              <w:autoSpaceDE w:val="0"/>
              <w:autoSpaceDN w:val="0"/>
              <w:adjustRightInd w:val="0"/>
              <w:spacing w:after="0" w:line="240" w:lineRule="auto"/>
              <w:jc w:val="both"/>
              <w:rPr>
                <w:rFonts w:cs="Calibri"/>
                <w:b/>
                <w:bCs/>
              </w:rPr>
            </w:pPr>
          </w:p>
        </w:tc>
        <w:tc>
          <w:tcPr>
            <w:tcW w:w="7494" w:type="dxa"/>
          </w:tcPr>
          <w:p w:rsidR="00730B1A" w:rsidRPr="00730B1A" w:rsidRDefault="00730B1A" w:rsidP="00730B1A">
            <w:pPr>
              <w:spacing w:before="30" w:after="30"/>
              <w:ind w:left="68" w:hanging="11"/>
              <w:jc w:val="both"/>
              <w:rPr>
                <w:rFonts w:cs="Arial"/>
                <w:b/>
              </w:rPr>
            </w:pPr>
            <w:r w:rsidRPr="00730B1A">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3. Gospodarka niskoemisyjna, Działanie 3.3 Efektywność energetyczna w budynkach użyteczności publicznej i sektorze mieszkaniowy, Poddziałanie 3.3.4 Efektywność energetyczna w budynkach użyteczności publicznej i sektorze mieszkaniowy – ZIT AW, </w:t>
            </w:r>
            <w:r w:rsidRPr="00730B1A">
              <w:rPr>
                <w:rFonts w:cs="Arial"/>
              </w:rPr>
              <w:t>(typ 3.3 e: Modernizacja systemów grzewczych i odnawialne źródła energii - projekty dotyczące zwalczania emisji kominowej – projekty niegrantowe)</w:t>
            </w:r>
            <w:r w:rsidRPr="00730B1A">
              <w:t xml:space="preserve">. </w:t>
            </w:r>
          </w:p>
          <w:p w:rsidR="00730B1A" w:rsidRPr="00730B1A" w:rsidRDefault="00730B1A" w:rsidP="00730B1A">
            <w:pPr>
              <w:spacing w:after="122"/>
              <w:jc w:val="both"/>
            </w:pPr>
            <w:r w:rsidRPr="00730B1A">
              <w:rPr>
                <w:b/>
                <w:u w:val="single" w:color="000000"/>
              </w:rPr>
              <w:t>Nabór w trybie konkursowym skierowany do Wnioskodawców/Beneficjentów realizujących projekty na</w:t>
            </w:r>
            <w:r w:rsidRPr="00730B1A">
              <w:rPr>
                <w:b/>
              </w:rPr>
              <w:t xml:space="preserve"> </w:t>
            </w:r>
            <w:r w:rsidRPr="00730B1A">
              <w:rPr>
                <w:b/>
                <w:u w:val="single" w:color="000000"/>
              </w:rPr>
              <w:t>terenie Aglomeracji Wałbrzyskiej określonym w Strategii ZIT AW.</w:t>
            </w:r>
            <w:r w:rsidRPr="00730B1A">
              <w:rPr>
                <w:b/>
              </w:rPr>
              <w:t xml:space="preserve"> </w:t>
            </w:r>
          </w:p>
          <w:p w:rsidR="00730B1A" w:rsidRPr="00730B1A" w:rsidRDefault="00730B1A" w:rsidP="00730B1A">
            <w:pPr>
              <w:spacing w:after="112"/>
              <w:jc w:val="both"/>
            </w:pPr>
            <w:r w:rsidRPr="00730B1A">
              <w:t xml:space="preserve">W skład </w:t>
            </w:r>
            <w:r w:rsidRPr="00730B1A">
              <w:rPr>
                <w:u w:val="single" w:color="000000"/>
              </w:rPr>
              <w:t>Aglomeracji Wałbrzyskiej</w:t>
            </w:r>
            <w:r w:rsidRPr="00730B1A">
              <w:t xml:space="preserve"> wchodzą Gminy: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Wsparciem w ramach ZIT AW objęte są w całości powiaty: świdnicki, wałbrzyski, Miasto Wałbrzych oraz częściowo powiaty kamiennogórski i kłodzki.  </w:t>
            </w:r>
          </w:p>
          <w:p w:rsidR="00730B1A" w:rsidRPr="00730B1A" w:rsidRDefault="00730B1A" w:rsidP="00730B1A">
            <w:pPr>
              <w:autoSpaceDE w:val="0"/>
              <w:autoSpaceDN w:val="0"/>
              <w:adjustRightInd w:val="0"/>
              <w:spacing w:after="120"/>
              <w:jc w:val="both"/>
              <w:rPr>
                <w:rFonts w:cs="Arial"/>
              </w:rPr>
            </w:pPr>
            <w:bookmarkStart w:id="3" w:name="_Hlk528326837"/>
            <w:r w:rsidRPr="00730B1A">
              <w:t>Przez konkurs ogłaszany w ramach ZIT AW rozumie się prowadzony w trybie konkursowym nabór wniosków o dofinansowanie ogłaszany na projekty o znaczeniu/zasięgu nie wykraczającym poza obszar ZIT AW.</w:t>
            </w:r>
            <w:r w:rsidRPr="00730B1A">
              <w:rPr>
                <w:b/>
              </w:rPr>
              <w:t xml:space="preserve">  </w:t>
            </w:r>
            <w:r w:rsidRPr="00730B1A">
              <w:rPr>
                <w:rFonts w:cs="Arial"/>
              </w:rPr>
              <w:t>Przez realizację należy rozumieć wymianę źródeł ciepła w budynkach leżących na obszarze ZIT AW.</w:t>
            </w:r>
          </w:p>
          <w:bookmarkEnd w:id="3"/>
          <w:p w:rsidR="00730B1A" w:rsidRPr="00730B1A" w:rsidRDefault="00730B1A" w:rsidP="00730B1A">
            <w:pPr>
              <w:spacing w:after="122"/>
              <w:jc w:val="both"/>
              <w:rPr>
                <w:rFonts w:cs="Arial"/>
                <w:u w:val="single"/>
              </w:rPr>
            </w:pPr>
            <w:r w:rsidRPr="00730B1A">
              <w:rPr>
                <w:rStyle w:val="Pogrubienie"/>
                <w:u w:val="single"/>
              </w:rPr>
              <w:t>Jeden Wnioskodawca w ramach naboru może złożyć tylko jeden wniosek o dofinansowanie.</w:t>
            </w:r>
          </w:p>
          <w:p w:rsidR="00730B1A" w:rsidRPr="00730B1A" w:rsidRDefault="00730B1A" w:rsidP="00730B1A">
            <w:pPr>
              <w:spacing w:after="112"/>
              <w:jc w:val="both"/>
            </w:pPr>
            <w:r w:rsidRPr="00730B1A">
              <w:t xml:space="preserve">Regulamin oraz wszystkie niezbędne do złożenia w konkursie dokumenty są dostępne na stronie internetowej RPO WD 2014-2020: </w:t>
            </w:r>
            <w:hyperlink r:id="rId9">
              <w:r w:rsidRPr="00730B1A">
                <w:rPr>
                  <w:u w:val="single" w:color="0000FF"/>
                </w:rPr>
                <w:t>www.ipaw.walbrzych.eu</w:t>
              </w:r>
            </w:hyperlink>
            <w:hyperlink r:id="rId10">
              <w:r w:rsidRPr="00730B1A">
                <w:t xml:space="preserve"> </w:t>
              </w:r>
            </w:hyperlink>
            <w:r w:rsidRPr="00730B1A">
              <w:t xml:space="preserve"> oraz </w:t>
            </w:r>
            <w:hyperlink r:id="rId11">
              <w:r w:rsidRPr="00730B1A">
                <w:rPr>
                  <w:u w:val="single" w:color="0000FF"/>
                </w:rPr>
                <w:t>www.funduszeeuropejskie.gov.pl</w:t>
              </w:r>
            </w:hyperlink>
            <w:hyperlink r:id="rId12">
              <w:r w:rsidRPr="00730B1A">
                <w:t>.</w:t>
              </w:r>
            </w:hyperlink>
            <w:r w:rsidRPr="00730B1A">
              <w:t xml:space="preserve">  </w:t>
            </w:r>
          </w:p>
          <w:p w:rsidR="00730B1A" w:rsidRPr="00730B1A" w:rsidRDefault="00730B1A" w:rsidP="00730B1A">
            <w:pPr>
              <w:spacing w:afterLines="112" w:after="268"/>
              <w:jc w:val="both"/>
            </w:pPr>
            <w:r w:rsidRPr="00730B1A">
              <w:t xml:space="preserve">Przystąpienie do konkursu jest równoznaczne z akceptacją przez Wnioskodawcę postanowień regulaminu. </w:t>
            </w:r>
          </w:p>
          <w:p w:rsidR="00730B1A" w:rsidRPr="00730B1A" w:rsidRDefault="00730B1A" w:rsidP="00730B1A">
            <w:pPr>
              <w:spacing w:afterLines="112" w:after="268"/>
              <w:jc w:val="both"/>
            </w:pPr>
            <w:r w:rsidRPr="00730B1A">
              <w:t xml:space="preserve">W kwestiach nieuregulowanych niniejszym regulaminem konkursu, zastosowanie mają odpowiednie przepisy prawa polskiego i Unii Europejskiej. </w:t>
            </w:r>
          </w:p>
          <w:p w:rsidR="00730B1A" w:rsidRPr="00730B1A" w:rsidRDefault="00730B1A" w:rsidP="00730B1A">
            <w:pPr>
              <w:spacing w:afterLines="112" w:after="268"/>
              <w:jc w:val="both"/>
            </w:pPr>
            <w:r w:rsidRPr="00730B1A">
              <w:t xml:space="preserve">Wybór projektów do dofinansowania jest przeprowadzony w sposób przejrzysty, rzetelny  i bezstronny. Wnioskodawcom zapewniony jest równy dostęp do </w:t>
            </w:r>
            <w:r w:rsidRPr="00730B1A">
              <w:lastRenderedPageBreak/>
              <w:t xml:space="preserve">informacji o warunkach i sposobie wyboru projektów do dofinansowania oraz równe traktowanie. </w:t>
            </w:r>
          </w:p>
          <w:p w:rsidR="00DD39F8" w:rsidRPr="00436944" w:rsidRDefault="00730B1A" w:rsidP="00730B1A">
            <w:pPr>
              <w:spacing w:afterLines="112" w:after="268"/>
              <w:jc w:val="both"/>
            </w:pPr>
            <w:r w:rsidRPr="00730B1A">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 </w:t>
            </w:r>
          </w:p>
        </w:tc>
      </w:tr>
      <w:tr w:rsidR="00436944" w:rsidRPr="00436944" w:rsidTr="006D7C1A">
        <w:tc>
          <w:tcPr>
            <w:tcW w:w="534" w:type="dxa"/>
          </w:tcPr>
          <w:p w:rsidR="0063427E" w:rsidRPr="00436944" w:rsidRDefault="0063427E" w:rsidP="00341F0C">
            <w:pPr>
              <w:autoSpaceDE w:val="0"/>
              <w:autoSpaceDN w:val="0"/>
              <w:adjustRightInd w:val="0"/>
              <w:spacing w:after="0" w:line="240" w:lineRule="auto"/>
              <w:jc w:val="both"/>
              <w:rPr>
                <w:rFonts w:cs="Calibri"/>
              </w:rPr>
            </w:pPr>
            <w:r w:rsidRPr="00436944">
              <w:rPr>
                <w:rFonts w:cs="Calibri"/>
                <w:b/>
                <w:bCs/>
              </w:rPr>
              <w:lastRenderedPageBreak/>
              <w:t>2.</w:t>
            </w:r>
          </w:p>
        </w:tc>
        <w:tc>
          <w:tcPr>
            <w:tcW w:w="2268" w:type="dxa"/>
          </w:tcPr>
          <w:p w:rsidR="0063427E" w:rsidRPr="00436944" w:rsidRDefault="0063427E" w:rsidP="00341F0C">
            <w:pPr>
              <w:autoSpaceDE w:val="0"/>
              <w:autoSpaceDN w:val="0"/>
              <w:adjustRightInd w:val="0"/>
              <w:spacing w:after="0" w:line="240" w:lineRule="auto"/>
              <w:jc w:val="both"/>
              <w:rPr>
                <w:rFonts w:cs="Calibri"/>
              </w:rPr>
            </w:pPr>
            <w:r w:rsidRPr="00436944">
              <w:rPr>
                <w:rFonts w:cs="Calibri"/>
                <w:b/>
                <w:bCs/>
              </w:rPr>
              <w:t>Pełna nazwa i adres właściwej instytucji</w:t>
            </w:r>
            <w:r w:rsidRPr="00436944">
              <w:rPr>
                <w:b/>
              </w:rPr>
              <w:t xml:space="preserve"> organizującej konkurs</w:t>
            </w:r>
            <w:r w:rsidRPr="00436944">
              <w:rPr>
                <w:rFonts w:cs="Calibri"/>
                <w:b/>
                <w:bCs/>
              </w:rPr>
              <w:t xml:space="preserve">: </w:t>
            </w:r>
          </w:p>
        </w:tc>
        <w:tc>
          <w:tcPr>
            <w:tcW w:w="7494" w:type="dxa"/>
          </w:tcPr>
          <w:p w:rsidR="008C79E0" w:rsidRPr="00436944" w:rsidRDefault="008C79E0" w:rsidP="00341F0C">
            <w:pPr>
              <w:spacing w:after="0"/>
              <w:jc w:val="both"/>
            </w:pPr>
            <w:r w:rsidRPr="00436944">
              <w:t>Instytucją Organizującą Konkurs jest Gmina Wałbrzych pełniąca funkcję Instytucji Pośredniczącej w ramach instrumentu Zintegrowane Inwestycje Terytorialne RPO WD oraz funkcję Lidera ZIT AW.</w:t>
            </w:r>
          </w:p>
          <w:p w:rsidR="0063427E" w:rsidRPr="00436944" w:rsidRDefault="008C79E0" w:rsidP="00341F0C">
            <w:pPr>
              <w:spacing w:after="0"/>
              <w:jc w:val="both"/>
            </w:pPr>
            <w:r w:rsidRPr="00436944">
              <w:t>Zadania związane z naborem realizuje Instytucja Pośrednicząca Aglomeracji Wałbrzyskiej,  ul. Słowackiego 23A, 58-300 Wałbrzych, zgodnie z porozumieniem nr DEF-Z/985/2015 z 12.06.2015 r. zawartym pomiędzy IZ RPO WD 2014-2020/IZ a ZIT AW.</w:t>
            </w:r>
          </w:p>
        </w:tc>
      </w:tr>
      <w:tr w:rsidR="00436944" w:rsidRPr="00436944" w:rsidTr="006D7C1A">
        <w:tc>
          <w:tcPr>
            <w:tcW w:w="534" w:type="dxa"/>
          </w:tcPr>
          <w:p w:rsidR="00424DF6" w:rsidRPr="00436944" w:rsidRDefault="007C46DB" w:rsidP="00341F0C">
            <w:pPr>
              <w:autoSpaceDE w:val="0"/>
              <w:autoSpaceDN w:val="0"/>
              <w:adjustRightInd w:val="0"/>
              <w:spacing w:after="0" w:line="240" w:lineRule="auto"/>
              <w:jc w:val="both"/>
              <w:rPr>
                <w:rFonts w:cs="Calibri"/>
              </w:rPr>
            </w:pPr>
            <w:r w:rsidRPr="00436944">
              <w:rPr>
                <w:rFonts w:cs="Calibri"/>
                <w:b/>
                <w:bCs/>
              </w:rPr>
              <w:t>3</w:t>
            </w:r>
            <w:r w:rsidR="00424DF6" w:rsidRPr="00436944">
              <w:rPr>
                <w:rFonts w:cs="Calibri"/>
                <w:b/>
                <w:bCs/>
              </w:rPr>
              <w:t xml:space="preserve">. </w:t>
            </w:r>
          </w:p>
        </w:tc>
        <w:tc>
          <w:tcPr>
            <w:tcW w:w="2268" w:type="dxa"/>
          </w:tcPr>
          <w:p w:rsidR="00424DF6" w:rsidRPr="00436944" w:rsidRDefault="00424DF6" w:rsidP="00341F0C">
            <w:pPr>
              <w:autoSpaceDE w:val="0"/>
              <w:autoSpaceDN w:val="0"/>
              <w:adjustRightInd w:val="0"/>
              <w:spacing w:after="0" w:line="240" w:lineRule="auto"/>
              <w:jc w:val="both"/>
              <w:rPr>
                <w:rFonts w:cs="Calibri"/>
              </w:rPr>
            </w:pPr>
            <w:r w:rsidRPr="00436944">
              <w:rPr>
                <w:rFonts w:cs="Calibri"/>
                <w:b/>
                <w:bCs/>
              </w:rPr>
              <w:t xml:space="preserve">Przedmiot konkursu, w tym typy projektów podlegających dofinansowaniu: </w:t>
            </w:r>
          </w:p>
        </w:tc>
        <w:tc>
          <w:tcPr>
            <w:tcW w:w="7494" w:type="dxa"/>
          </w:tcPr>
          <w:p w:rsidR="008C3104" w:rsidRPr="008C3104" w:rsidRDefault="008C3104" w:rsidP="008C3104">
            <w:pPr>
              <w:widowControl w:val="0"/>
              <w:spacing w:after="0"/>
              <w:jc w:val="both"/>
            </w:pPr>
            <w:r w:rsidRPr="008C3104">
              <w:t>Przedmiotem konkursu jest udzielenie dofinansowania na realizację projektów (zgodnie z art. 35 ust. 2 ustawy wdrożeniowej), których celem szczegółowym jest zwiększenie efektywności energetycznej w sektorze mieszkaniowym - modernizacja systemów grzewczych i odnawialne źródła energii w budynkach mieszkalnych w celu zwalczania emisji kominowej obszarze ZIT AW.</w:t>
            </w:r>
          </w:p>
          <w:p w:rsidR="008C3104" w:rsidRPr="008C3104" w:rsidRDefault="008C3104" w:rsidP="008C3104">
            <w:pPr>
              <w:widowControl w:val="0"/>
              <w:spacing w:after="0"/>
              <w:jc w:val="both"/>
            </w:pPr>
          </w:p>
          <w:p w:rsidR="008C3104" w:rsidRPr="008C3104" w:rsidRDefault="008C3104" w:rsidP="008C3104">
            <w:pPr>
              <w:widowControl w:val="0"/>
              <w:spacing w:after="0"/>
              <w:jc w:val="both"/>
            </w:pPr>
            <w:r w:rsidRPr="008C3104">
              <w:t xml:space="preserve">W ramach konkursu 3.3 e dofinansowanie będzie można uzyskać na projekty polegające na wymianie dotychczasowego wysokoemisyjnego źródła ciepła na podłączenie do sieci ciepłowniczej, instalacje wykorzystujące odnawialne źródła ciepła oraz kotły spalające biomasę lub ewentualnie paliwa gazowe (wymianie nie podlegają kotły gazowe i olejowe, nie dopuszcza się też wymiany kotłów na kotły węglowe, niezależnie od ich klasy, w tym zasilane ekogroszkiem oraz na kotły olejowe) bez konieczności przeprowadzenia kompleksowej termomodernizacji w sytuacji kiedy zostaną spełnione minimalne progi wskaźnika energii pierwotnej EP </w:t>
            </w:r>
            <w:r w:rsidRPr="008C3104">
              <w:rPr>
                <w:rFonts w:cs="Arial"/>
              </w:rPr>
              <w:t>który określa roczne obliczeniowe zapotrzebowanie na nieodnawialną energię pierwotną do ogrzewania, wentylacji, chłodzenia oraz przygotowania ciepłej wody użytkowej</w:t>
            </w:r>
            <w:r w:rsidRPr="008C3104">
              <w:rPr>
                <w:i/>
              </w:rPr>
              <w:t xml:space="preserve"> (Zgodnie z kryterium „Maksymalne progi wskaźnika energii pierwotnej EP H + W” – wartość współczynnika nie może być wyższa niż 450 kWh/(m2 rok)</w:t>
            </w:r>
            <w:r w:rsidRPr="008C3104">
              <w:t xml:space="preserve"> zmierzone na podstawie świadectwa efektywności energetycznej, audytu energetycznego lub uproszczonego audytu energetycznego sporządzonego zgodnie z metodologią wskazaną przez Instytucję Organizującą Konkurs (dokument stanowi zał. nr 6 do niniejszego Regulaminu).  </w:t>
            </w:r>
          </w:p>
          <w:p w:rsidR="008C3104" w:rsidRPr="008C3104" w:rsidRDefault="008C3104" w:rsidP="008C3104">
            <w:pPr>
              <w:widowControl w:val="0"/>
              <w:spacing w:after="0"/>
              <w:jc w:val="both"/>
            </w:pPr>
          </w:p>
          <w:p w:rsidR="008C3104" w:rsidRPr="008C3104" w:rsidRDefault="008C3104" w:rsidP="008C3104">
            <w:pPr>
              <w:pStyle w:val="Tekstpodstawowy"/>
              <w:spacing w:after="0" w:line="276" w:lineRule="auto"/>
              <w:jc w:val="both"/>
              <w:rPr>
                <w:rFonts w:asciiTheme="minorHAnsi" w:hAnsiTheme="minorHAnsi"/>
                <w:sz w:val="22"/>
                <w:szCs w:val="22"/>
              </w:rPr>
            </w:pPr>
            <w:r w:rsidRPr="008C3104">
              <w:rPr>
                <w:rFonts w:asciiTheme="minorHAnsi" w:hAnsiTheme="minorHAnsi"/>
                <w:sz w:val="22"/>
                <w:szCs w:val="22"/>
              </w:rPr>
              <w:t xml:space="preserve">Uproszczony audyt energetyczny należy sporządzić w oparciu o metodologię wskazaną przez IOK, stanowiącą załącznik do regulaminu. </w:t>
            </w:r>
          </w:p>
          <w:p w:rsidR="008C3104" w:rsidRPr="008C3104" w:rsidRDefault="008C3104" w:rsidP="008C3104">
            <w:pPr>
              <w:pStyle w:val="Tekstpodstawowy"/>
              <w:spacing w:after="0" w:line="276" w:lineRule="auto"/>
              <w:jc w:val="both"/>
              <w:rPr>
                <w:rFonts w:asciiTheme="minorHAnsi" w:hAnsiTheme="minorHAnsi"/>
                <w:sz w:val="22"/>
                <w:szCs w:val="22"/>
              </w:rPr>
            </w:pPr>
            <w:r w:rsidRPr="008C3104">
              <w:rPr>
                <w:rFonts w:asciiTheme="minorHAnsi" w:hAnsiTheme="minorHAnsi"/>
                <w:sz w:val="22"/>
                <w:szCs w:val="22"/>
              </w:rPr>
              <w:t>Dopuszcza się wykorzystanie audytów już posiadanych przez Wnioskodawcę sporządzonych (zaktualizowanych) nie wcześniej niż na dwa lata przed rokiem ogłoszenia konkursu o dofinansowanie.</w:t>
            </w:r>
          </w:p>
          <w:p w:rsidR="008C3104" w:rsidRPr="008C3104" w:rsidRDefault="008C3104" w:rsidP="008C3104">
            <w:pPr>
              <w:pStyle w:val="Tekstpodstawowy"/>
              <w:spacing w:after="0" w:line="276" w:lineRule="auto"/>
              <w:jc w:val="both"/>
              <w:rPr>
                <w:rFonts w:asciiTheme="minorHAnsi" w:hAnsiTheme="minorHAnsi"/>
                <w:sz w:val="22"/>
                <w:szCs w:val="22"/>
              </w:rPr>
            </w:pPr>
            <w:r w:rsidRPr="008C3104">
              <w:rPr>
                <w:rFonts w:asciiTheme="minorHAnsi" w:hAnsiTheme="minorHAnsi"/>
                <w:sz w:val="22"/>
                <w:szCs w:val="22"/>
              </w:rPr>
              <w:lastRenderedPageBreak/>
              <w:t xml:space="preserve">Jednak wartość redukcji emisji CO2 i pyłów zawieszonych PM 10 i PM 2,5 należy wyszacować zgodnie z metodologią wskazaną przez Instytucję Organizującą Konkurs, tak aby dane do wskaźników rezultatu pozyskiwane były zgodnie z tą samą metodologią. </w:t>
            </w:r>
          </w:p>
          <w:p w:rsidR="008C3104" w:rsidRPr="008C3104" w:rsidRDefault="008C3104" w:rsidP="008C3104">
            <w:pPr>
              <w:widowControl w:val="0"/>
              <w:spacing w:after="0"/>
              <w:jc w:val="both"/>
            </w:pPr>
          </w:p>
          <w:p w:rsidR="008C3104" w:rsidRPr="008C3104" w:rsidRDefault="008C3104" w:rsidP="008C3104">
            <w:pPr>
              <w:widowControl w:val="0"/>
              <w:spacing w:after="112"/>
              <w:jc w:val="both"/>
            </w:pPr>
            <w:r w:rsidRPr="008C3104">
              <w:t xml:space="preserve">W budynkach historycznych (zabytkach) dopuszczalna jest wymiana źródeł ciepła </w:t>
            </w:r>
            <w:r w:rsidRPr="008C3104">
              <w:rPr>
                <w:rFonts w:cs="Arial"/>
              </w:rPr>
              <w:t xml:space="preserve">bez konieczności spełnienia warunków odnośnie </w:t>
            </w:r>
            <w:r w:rsidRPr="008C3104">
              <w:rPr>
                <w:i/>
              </w:rPr>
              <w:t>Maksymalnego progu wskaźnika energii pierwotnej EP H + W” ,</w:t>
            </w:r>
            <w:r w:rsidRPr="008C3104">
              <w:rPr>
                <w:rFonts w:cs="Arial"/>
              </w:rPr>
              <w:t xml:space="preserve"> </w:t>
            </w:r>
            <w:r w:rsidRPr="008C3104">
              <w:t>jeżeli zostały przeprowadzone minimalne inwestycje w efektywność energetyczną obejmujące co najmniej jeden z poniższych elementów:</w:t>
            </w:r>
          </w:p>
          <w:p w:rsidR="008C3104" w:rsidRPr="008C3104" w:rsidRDefault="008C3104" w:rsidP="008C3104">
            <w:pPr>
              <w:numPr>
                <w:ilvl w:val="0"/>
                <w:numId w:val="19"/>
              </w:numPr>
              <w:snapToGrid w:val="0"/>
              <w:spacing w:after="112"/>
              <w:jc w:val="both"/>
            </w:pPr>
            <w:bookmarkStart w:id="4" w:name="_Hlk525727367"/>
            <w:r w:rsidRPr="008C3104">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44" w:type="dxa"/>
              <w:tblLayout w:type="fixed"/>
              <w:tblCellMar>
                <w:left w:w="0" w:type="dxa"/>
                <w:right w:w="0" w:type="dxa"/>
              </w:tblCellMar>
              <w:tblLook w:val="04A0" w:firstRow="1" w:lastRow="0" w:firstColumn="1" w:lastColumn="0" w:noHBand="0" w:noVBand="1"/>
            </w:tblPr>
            <w:tblGrid>
              <w:gridCol w:w="2930"/>
              <w:gridCol w:w="2835"/>
            </w:tblGrid>
            <w:tr w:rsidR="008C3104" w:rsidRPr="008C3104" w:rsidTr="008C3104">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Rok wymiany/produkcji okna</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Uk (max) okna [W/(m2*K)]  </w:t>
                  </w:r>
                </w:p>
              </w:tc>
            </w:tr>
            <w:tr w:rsidR="008C3104" w:rsidRPr="008C3104" w:rsidTr="008C310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1995 - 1998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2,0 - 2,2</w:t>
                  </w:r>
                </w:p>
              </w:tc>
            </w:tr>
            <w:tr w:rsidR="008C3104" w:rsidRPr="008C3104" w:rsidTr="008C310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1998 - 2002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1,9 - 2,2</w:t>
                  </w:r>
                </w:p>
              </w:tc>
            </w:tr>
            <w:tr w:rsidR="008C3104" w:rsidRPr="008C3104" w:rsidTr="008C310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2003 - 2008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1,6 - 2,2</w:t>
                  </w:r>
                </w:p>
              </w:tc>
            </w:tr>
            <w:tr w:rsidR="008C3104" w:rsidRPr="008C3104" w:rsidTr="008C310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2009 - 2013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1,5 - 1,7</w:t>
                  </w:r>
                </w:p>
              </w:tc>
            </w:tr>
            <w:tr w:rsidR="008C3104" w:rsidRPr="008C3104" w:rsidTr="008C310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2014 - 2017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1,3 - 1,5</w:t>
                  </w:r>
                </w:p>
              </w:tc>
            </w:tr>
            <w:tr w:rsidR="008C3104" w:rsidRPr="008C3104" w:rsidTr="008C3104">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2018</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C3104" w:rsidRPr="008C3104" w:rsidRDefault="008C3104" w:rsidP="008C3104">
                  <w:pPr>
                    <w:spacing w:after="0"/>
                    <w:jc w:val="both"/>
                    <w:rPr>
                      <w:i/>
                      <w:iCs/>
                    </w:rPr>
                  </w:pPr>
                  <w:r w:rsidRPr="008C3104">
                    <w:rPr>
                      <w:i/>
                      <w:iCs/>
                    </w:rPr>
                    <w:t>1,1 - 0,9</w:t>
                  </w:r>
                </w:p>
              </w:tc>
            </w:tr>
          </w:tbl>
          <w:p w:rsidR="008C3104" w:rsidRPr="008C3104" w:rsidRDefault="008C3104" w:rsidP="008C3104">
            <w:pPr>
              <w:snapToGrid w:val="0"/>
              <w:spacing w:after="0"/>
              <w:jc w:val="both"/>
            </w:pPr>
          </w:p>
          <w:p w:rsidR="008C3104" w:rsidRPr="008C3104" w:rsidRDefault="008C3104" w:rsidP="008C3104">
            <w:pPr>
              <w:numPr>
                <w:ilvl w:val="0"/>
                <w:numId w:val="19"/>
              </w:numPr>
              <w:snapToGrid w:val="0"/>
              <w:spacing w:after="0"/>
              <w:jc w:val="both"/>
            </w:pPr>
            <w:r w:rsidRPr="008C3104">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8C3104" w:rsidRPr="008C3104" w:rsidRDefault="008C3104" w:rsidP="008C3104">
            <w:pPr>
              <w:numPr>
                <w:ilvl w:val="0"/>
                <w:numId w:val="19"/>
              </w:numPr>
              <w:snapToGrid w:val="0"/>
              <w:jc w:val="both"/>
            </w:pPr>
            <w:r w:rsidRPr="008C3104">
              <w:t>zastosowanie wentylacji z odzyskiem ciepła.</w:t>
            </w:r>
          </w:p>
          <w:bookmarkEnd w:id="4"/>
          <w:p w:rsidR="008C3104" w:rsidRPr="008C3104" w:rsidRDefault="008C3104" w:rsidP="008C3104">
            <w:pPr>
              <w:snapToGrid w:val="0"/>
              <w:spacing w:after="112"/>
              <w:ind w:left="68" w:hanging="11"/>
              <w:jc w:val="both"/>
            </w:pPr>
            <w:r w:rsidRPr="008C3104">
              <w:rPr>
                <w:rFonts w:cs="Arial"/>
              </w:rPr>
              <w:t>Warunek ten musi być spełniony we wszystkich budynkach historycznych / mieszkaniach w budynkach historycznych będących przedmiotem projektu.</w:t>
            </w:r>
          </w:p>
          <w:p w:rsidR="008C3104" w:rsidRPr="009A2A34" w:rsidRDefault="008C3104" w:rsidP="009A2A34">
            <w:pPr>
              <w:snapToGrid w:val="0"/>
              <w:spacing w:after="112"/>
              <w:ind w:left="68" w:hanging="11"/>
              <w:jc w:val="both"/>
              <w:rPr>
                <w:rFonts w:cs="Arial"/>
              </w:rPr>
            </w:pPr>
            <w:r w:rsidRPr="008C3104">
              <w:rPr>
                <w:rFonts w:cs="Arial"/>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rsidR="008C3104" w:rsidRPr="008C3104" w:rsidRDefault="008C3104" w:rsidP="008C3104">
            <w:pPr>
              <w:widowControl w:val="0"/>
              <w:spacing w:after="0"/>
              <w:jc w:val="both"/>
              <w:rPr>
                <w:b/>
              </w:rPr>
            </w:pPr>
            <w:r w:rsidRPr="008C3104">
              <w:rPr>
                <w:b/>
              </w:rPr>
              <w:t>Aktualny link do rejestru zabytków /wykazu zabytków Wojewódzkiego Urzędu Ochrony Zbytków we Wrocławiu:</w:t>
            </w:r>
          </w:p>
          <w:p w:rsidR="008C3104" w:rsidRPr="008C3104" w:rsidRDefault="00EF09E7" w:rsidP="009A2A34">
            <w:pPr>
              <w:jc w:val="both"/>
            </w:pPr>
            <w:hyperlink r:id="rId13" w:history="1">
              <w:r w:rsidR="008C3104" w:rsidRPr="008C3104">
                <w:rPr>
                  <w:rStyle w:val="Hipercze"/>
                </w:rPr>
                <w:t>https://wosoz.ibip.wroc.pl/public/?id=2589</w:t>
              </w:r>
            </w:hyperlink>
          </w:p>
          <w:p w:rsidR="008C3104" w:rsidRPr="008C3104" w:rsidRDefault="008C3104" w:rsidP="008C3104">
            <w:pPr>
              <w:widowControl w:val="0"/>
              <w:spacing w:after="0"/>
              <w:jc w:val="both"/>
              <w:rPr>
                <w:b/>
              </w:rPr>
            </w:pPr>
            <w:r w:rsidRPr="008C3104">
              <w:rPr>
                <w:b/>
              </w:rPr>
              <w:t>W każdym przypadku weryfikowane będzie czy:</w:t>
            </w:r>
          </w:p>
          <w:p w:rsidR="008C3104" w:rsidRPr="008C3104" w:rsidRDefault="008C3104" w:rsidP="008C3104">
            <w:pPr>
              <w:pStyle w:val="Akapitzlist"/>
              <w:widowControl w:val="0"/>
              <w:numPr>
                <w:ilvl w:val="0"/>
                <w:numId w:val="18"/>
              </w:numPr>
              <w:suppressAutoHyphens/>
              <w:autoSpaceDE w:val="0"/>
              <w:autoSpaceDN w:val="0"/>
              <w:adjustRightInd w:val="0"/>
              <w:snapToGrid w:val="0"/>
              <w:spacing w:before="0" w:line="276" w:lineRule="auto"/>
              <w:contextualSpacing/>
              <w:jc w:val="both"/>
              <w:textAlignment w:val="baseline"/>
              <w:rPr>
                <w:rFonts w:asciiTheme="minorHAnsi" w:hAnsiTheme="minorHAnsi"/>
                <w:szCs w:val="22"/>
              </w:rPr>
            </w:pPr>
            <w:r w:rsidRPr="008C3104">
              <w:rPr>
                <w:rFonts w:asciiTheme="minorHAnsi" w:hAnsiTheme="minorHAnsi"/>
                <w:szCs w:val="22"/>
              </w:rPr>
              <w:t>projekt realizowany jest w domach jednorodzinnych i/lub wielorodzinnych budynkach mieszkalnych;</w:t>
            </w:r>
          </w:p>
          <w:p w:rsidR="008C3104" w:rsidRPr="008C3104" w:rsidRDefault="008C3104" w:rsidP="008C3104">
            <w:pPr>
              <w:pStyle w:val="Akapitzlist"/>
              <w:widowControl w:val="0"/>
              <w:numPr>
                <w:ilvl w:val="0"/>
                <w:numId w:val="18"/>
              </w:numPr>
              <w:suppressAutoHyphens/>
              <w:autoSpaceDE w:val="0"/>
              <w:autoSpaceDN w:val="0"/>
              <w:adjustRightInd w:val="0"/>
              <w:snapToGrid w:val="0"/>
              <w:spacing w:before="0" w:line="276" w:lineRule="auto"/>
              <w:contextualSpacing/>
              <w:jc w:val="both"/>
              <w:textAlignment w:val="baseline"/>
              <w:rPr>
                <w:rFonts w:asciiTheme="minorHAnsi" w:hAnsiTheme="minorHAnsi"/>
                <w:szCs w:val="22"/>
              </w:rPr>
            </w:pPr>
            <w:r w:rsidRPr="008C3104">
              <w:rPr>
                <w:rFonts w:asciiTheme="minorHAnsi" w:hAnsiTheme="minorHAnsi"/>
                <w:szCs w:val="22"/>
              </w:rPr>
              <w:t>w każdym budynku/mieszkaniu wymianie podlega dotychczasowe wysokoemisyjne źródło ciepła;</w:t>
            </w:r>
          </w:p>
          <w:p w:rsidR="008C3104" w:rsidRPr="008C3104" w:rsidRDefault="008C3104" w:rsidP="008C3104">
            <w:pPr>
              <w:pStyle w:val="Akapitzlist"/>
              <w:widowControl w:val="0"/>
              <w:numPr>
                <w:ilvl w:val="0"/>
                <w:numId w:val="18"/>
              </w:numPr>
              <w:suppressAutoHyphens/>
              <w:autoSpaceDE w:val="0"/>
              <w:autoSpaceDN w:val="0"/>
              <w:adjustRightInd w:val="0"/>
              <w:snapToGrid w:val="0"/>
              <w:spacing w:before="0" w:line="276" w:lineRule="auto"/>
              <w:contextualSpacing/>
              <w:jc w:val="both"/>
              <w:textAlignment w:val="baseline"/>
              <w:rPr>
                <w:rFonts w:asciiTheme="minorHAnsi" w:hAnsiTheme="minorHAnsi"/>
                <w:szCs w:val="22"/>
              </w:rPr>
            </w:pPr>
            <w:r w:rsidRPr="008C3104">
              <w:rPr>
                <w:rFonts w:asciiTheme="minorHAnsi" w:hAnsiTheme="minorHAnsi"/>
                <w:szCs w:val="22"/>
              </w:rPr>
              <w:t>wymiana każdego wysokoemisyjnego źródła ciepła  w projekcie prowadzi do redukcji emisji CO2 (co najmniej o 30% w przypadku zmiany paliwa) (nie wystarczy wykazanie, że łącznie w projekcie nastąpiła redukcja) – nie dotyczy sieci ciepłowniczej,</w:t>
            </w:r>
          </w:p>
          <w:p w:rsidR="008C3104" w:rsidRPr="008C3104" w:rsidRDefault="008C3104" w:rsidP="008C3104">
            <w:pPr>
              <w:pStyle w:val="Akapitzlist"/>
              <w:widowControl w:val="0"/>
              <w:numPr>
                <w:ilvl w:val="0"/>
                <w:numId w:val="18"/>
              </w:numPr>
              <w:suppressAutoHyphens/>
              <w:autoSpaceDE w:val="0"/>
              <w:autoSpaceDN w:val="0"/>
              <w:adjustRightInd w:val="0"/>
              <w:snapToGrid w:val="0"/>
              <w:spacing w:before="0" w:line="276" w:lineRule="auto"/>
              <w:contextualSpacing/>
              <w:jc w:val="both"/>
              <w:textAlignment w:val="baseline"/>
              <w:rPr>
                <w:rFonts w:asciiTheme="minorHAnsi" w:hAnsiTheme="minorHAnsi"/>
                <w:szCs w:val="22"/>
              </w:rPr>
            </w:pPr>
            <w:r w:rsidRPr="008C3104">
              <w:rPr>
                <w:rFonts w:asciiTheme="minorHAnsi" w:hAnsiTheme="minorHAnsi"/>
                <w:szCs w:val="22"/>
              </w:rPr>
              <w:t>wymiana każdego wysokoemisyjnego źródła ciepła w projekcie prowadzi do redukcji emisji pyłów zawieszonych PM10 i PM 2,5 (nie wystarczy wykazanie, że łącznie w projekcie nastąpiła redukcja) – nie dotyczy sieci ciepłowniczej,</w:t>
            </w:r>
          </w:p>
          <w:p w:rsidR="008C3104" w:rsidRPr="008C3104" w:rsidRDefault="008C3104" w:rsidP="008C3104">
            <w:pPr>
              <w:pStyle w:val="Akapitzlist"/>
              <w:widowControl w:val="0"/>
              <w:numPr>
                <w:ilvl w:val="0"/>
                <w:numId w:val="18"/>
              </w:numPr>
              <w:suppressAutoHyphens/>
              <w:autoSpaceDE w:val="0"/>
              <w:autoSpaceDN w:val="0"/>
              <w:adjustRightInd w:val="0"/>
              <w:snapToGrid w:val="0"/>
              <w:spacing w:before="0" w:line="276" w:lineRule="auto"/>
              <w:contextualSpacing/>
              <w:jc w:val="both"/>
              <w:textAlignment w:val="baseline"/>
              <w:rPr>
                <w:rFonts w:asciiTheme="minorHAnsi" w:hAnsiTheme="minorHAnsi"/>
                <w:szCs w:val="22"/>
              </w:rPr>
            </w:pPr>
            <w:r w:rsidRPr="008C3104">
              <w:rPr>
                <w:rFonts w:asciiTheme="minorHAnsi" w:hAnsiTheme="minorHAnsi"/>
                <w:szCs w:val="22"/>
              </w:rPr>
              <w:t>w budynku/mieszkaniach istnieje lub przewidziano instalację systemu zarządzania energią.</w:t>
            </w:r>
          </w:p>
          <w:p w:rsidR="008C3104" w:rsidRPr="008C3104" w:rsidRDefault="008C3104" w:rsidP="008C3104">
            <w:pPr>
              <w:pStyle w:val="Akapitzlist"/>
              <w:widowControl w:val="0"/>
              <w:numPr>
                <w:ilvl w:val="0"/>
                <w:numId w:val="18"/>
              </w:numPr>
              <w:suppressAutoHyphens/>
              <w:autoSpaceDE w:val="0"/>
              <w:autoSpaceDN w:val="0"/>
              <w:adjustRightInd w:val="0"/>
              <w:snapToGrid w:val="0"/>
              <w:spacing w:before="0" w:afterLines="112" w:after="268" w:line="276" w:lineRule="auto"/>
              <w:contextualSpacing/>
              <w:jc w:val="both"/>
              <w:textAlignment w:val="baseline"/>
              <w:rPr>
                <w:rFonts w:asciiTheme="minorHAnsi" w:hAnsiTheme="minorHAnsi"/>
                <w:szCs w:val="22"/>
              </w:rPr>
            </w:pPr>
            <w:r w:rsidRPr="008C3104">
              <w:rPr>
                <w:rFonts w:asciiTheme="minorHAnsi" w:hAnsiTheme="minorHAnsi"/>
                <w:szCs w:val="22"/>
              </w:rPr>
              <w:t>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dotyczy projektów, w których dodatkowo, obok źródła ciepła powstaje mikroinstalacja do produkcji energii elektrycznej z OZE na potrzeby domu / mieszkania, w którym wymieniane jest źródło ciepła.</w:t>
            </w:r>
          </w:p>
          <w:p w:rsidR="008C3104" w:rsidRPr="008C3104" w:rsidRDefault="008C3104" w:rsidP="008C3104">
            <w:pPr>
              <w:snapToGrid w:val="0"/>
              <w:spacing w:afterLines="112" w:after="268"/>
              <w:jc w:val="both"/>
              <w:rPr>
                <w:rFonts w:cs="Arial"/>
              </w:rPr>
            </w:pPr>
            <w:r w:rsidRPr="008C3104">
              <w:rPr>
                <w:rFonts w:cs="Arial"/>
              </w:rPr>
              <w:t>Pozostałe definicje zawarte są w kryterium „</w:t>
            </w:r>
            <w:r w:rsidRPr="008C3104">
              <w:rPr>
                <w:rFonts w:cs="Arial"/>
                <w:b/>
              </w:rPr>
              <w:t>Zgodność z RPO</w:t>
            </w:r>
            <w:r w:rsidRPr="008C3104">
              <w:rPr>
                <w:rFonts w:cs="Arial"/>
              </w:rPr>
              <w:t>” (załącznik nr 1 do Regulaminu).</w:t>
            </w:r>
          </w:p>
          <w:p w:rsidR="008C3104" w:rsidRPr="008C3104" w:rsidRDefault="008C3104" w:rsidP="008C3104">
            <w:pPr>
              <w:widowControl w:val="0"/>
              <w:spacing w:after="0"/>
              <w:jc w:val="both"/>
            </w:pPr>
            <w:r w:rsidRPr="008C3104">
              <w:t xml:space="preserve">Wysokoemisyjne źródło ciepła – </w:t>
            </w:r>
            <w:r w:rsidRPr="008C3104">
              <w:rPr>
                <w:rFonts w:cs="Arial"/>
              </w:rPr>
              <w:t>źródło ciepła nie spełniające norm emisyjnych ekoprojektu</w:t>
            </w:r>
            <w:r w:rsidRPr="008C3104">
              <w:rPr>
                <w:rStyle w:val="Zakotwiczenieprzypisudolnego"/>
                <w:rFonts w:cs="Arial"/>
              </w:rPr>
              <w:footnoteReference w:id="1"/>
            </w:r>
            <w:r w:rsidRPr="008C3104">
              <w:rPr>
                <w:rFonts w:cs="Arial"/>
              </w:rPr>
              <w:t xml:space="preserve"> obowiązujących od roku 2020 lub </w:t>
            </w:r>
            <w:r w:rsidRPr="008C3104">
              <w:t>wymagań klasy 5</w:t>
            </w:r>
            <w:r w:rsidRPr="008C3104">
              <w:rPr>
                <w:rStyle w:val="Zakotwiczenieprzypisudolnego"/>
              </w:rPr>
              <w:footnoteReference w:id="2"/>
            </w:r>
            <w:r w:rsidRPr="008C3104">
              <w:t xml:space="preserve">, </w:t>
            </w:r>
            <w:r w:rsidRPr="008C3104">
              <w:rPr>
                <w:rFonts w:cs="Arial"/>
              </w:rPr>
              <w:t>emitujące do atmosfery CO</w:t>
            </w:r>
            <w:r w:rsidRPr="008C3104">
              <w:rPr>
                <w:rFonts w:cs="Arial"/>
                <w:vertAlign w:val="subscript"/>
              </w:rPr>
              <w:t>2</w:t>
            </w:r>
            <w:r w:rsidRPr="008C3104">
              <w:rPr>
                <w:rFonts w:cs="Arial"/>
              </w:rPr>
              <w:t xml:space="preserve"> oraz inne zanieczyszczenia, takie jak pyły zawieszone PM 10 i PM 2,5 i inne związki toksyczne powstające w wyniku spalania paliw.</w:t>
            </w:r>
          </w:p>
          <w:p w:rsidR="008C3104" w:rsidRPr="008C3104" w:rsidRDefault="008C3104" w:rsidP="008C3104">
            <w:pPr>
              <w:widowControl w:val="0"/>
              <w:spacing w:after="0"/>
              <w:jc w:val="both"/>
            </w:pPr>
            <w:r w:rsidRPr="008C3104">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rsidR="008C3104" w:rsidRPr="008C3104" w:rsidRDefault="008C3104" w:rsidP="008C3104">
            <w:pPr>
              <w:widowControl w:val="0"/>
              <w:spacing w:after="0"/>
              <w:jc w:val="both"/>
              <w:rPr>
                <w:b/>
              </w:rPr>
            </w:pPr>
            <w:r w:rsidRPr="008C3104">
              <w:rPr>
                <w:b/>
              </w:rPr>
              <w:t>Dofinansowanie można otrzymać na:</w:t>
            </w:r>
          </w:p>
          <w:p w:rsidR="008C3104" w:rsidRPr="008C3104" w:rsidRDefault="008C3104" w:rsidP="008C3104">
            <w:pPr>
              <w:pStyle w:val="Akapitzlist"/>
              <w:numPr>
                <w:ilvl w:val="1"/>
                <w:numId w:val="20"/>
              </w:numPr>
              <w:spacing w:before="0" w:after="112" w:line="276" w:lineRule="auto"/>
              <w:ind w:left="425" w:hanging="357"/>
              <w:jc w:val="both"/>
              <w:rPr>
                <w:rFonts w:asciiTheme="minorHAnsi" w:hAnsiTheme="minorHAnsi" w:cs="Arial"/>
                <w:szCs w:val="22"/>
              </w:rPr>
            </w:pPr>
            <w:r w:rsidRPr="008C3104">
              <w:rPr>
                <w:rFonts w:asciiTheme="minorHAnsi" w:hAnsiTheme="minorHAnsi" w:cs="Arial"/>
                <w:szCs w:val="22"/>
              </w:rPr>
              <w:t xml:space="preserve">modernizację systemów grzewczych obejmującą wymianę wysokoemisyjnych źródeł ciepła: na podłączenie do sieci ciepłowniczej / chłodniczej lub instalację źródeł ciepła opartych o OZE (np. pomp ciepła) lub </w:t>
            </w:r>
            <w:r w:rsidRPr="008C3104">
              <w:rPr>
                <w:rFonts w:asciiTheme="minorHAnsi" w:hAnsiTheme="minorHAnsi" w:cs="Arial"/>
                <w:szCs w:val="22"/>
              </w:rPr>
              <w:lastRenderedPageBreak/>
              <w:t xml:space="preserve">instalację kotłów spalających biomasę, lub ewentualnie paliwa gazowe (wymianie nie podlegają użytkowane kotły gazowe i olejowe, nie dopuszcza się też wymiany użytkowanych kotłów innych niż gazowe i olejowe na kotły węglowe, niezależnie od ich klasy oraz rodzaju opału, np. zasilane ekogroszkiem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8C3104">
              <w:rPr>
                <w:rFonts w:asciiTheme="minorHAnsi" w:hAnsiTheme="minorHAnsi"/>
                <w:szCs w:val="22"/>
              </w:rPr>
              <w:t>zastosowanie ogrzewania elektrycznego (kable / maty grzejne, kotły elektryczne, piece akumulacyjne itp.), pod warunkiem, że będzie ono zasilane z OZE. Mikroinstalacja</w:t>
            </w:r>
            <w:r w:rsidRPr="008C3104">
              <w:rPr>
                <w:rStyle w:val="Odwoanieprzypisudolnego"/>
                <w:rFonts w:asciiTheme="minorHAnsi" w:hAnsiTheme="minorHAnsi"/>
                <w:szCs w:val="22"/>
              </w:rPr>
              <w:footnoteReference w:id="3"/>
            </w:r>
            <w:r w:rsidRPr="008C3104">
              <w:rPr>
                <w:rFonts w:asciiTheme="minorHAnsi" w:hAnsiTheme="minorHAnsi"/>
                <w:szCs w:val="22"/>
              </w:rPr>
              <w:t xml:space="preserve"> o odpowiedniej mocy może zostać zrealizowana w ramach projektu (można również wykorzystać już istniejącą instalację). </w:t>
            </w:r>
            <w:r w:rsidRPr="008C3104">
              <w:rPr>
                <w:rFonts w:asciiTheme="minorHAnsi" w:hAnsiTheme="minorHAnsi" w:cs="Arial"/>
                <w:szCs w:val="22"/>
              </w:rPr>
              <w:t xml:space="preserve">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8C3104">
              <w:rPr>
                <w:rFonts w:asciiTheme="minorHAnsi" w:hAnsiTheme="minorHAnsi" w:cs="Arial"/>
                <w:b/>
                <w:szCs w:val="22"/>
              </w:rPr>
              <w:t>Wymiana źródła ciepła jest elementem obowiązkowym.</w:t>
            </w:r>
          </w:p>
          <w:p w:rsidR="008C3104" w:rsidRPr="009A2A34" w:rsidRDefault="008C3104" w:rsidP="009A2A34">
            <w:pPr>
              <w:pStyle w:val="Akapitzlist"/>
              <w:numPr>
                <w:ilvl w:val="1"/>
                <w:numId w:val="20"/>
              </w:numPr>
              <w:spacing w:before="0" w:after="112" w:line="276" w:lineRule="auto"/>
              <w:ind w:left="425" w:hanging="357"/>
              <w:jc w:val="both"/>
              <w:rPr>
                <w:rFonts w:asciiTheme="minorHAnsi" w:hAnsiTheme="minorHAnsi" w:cs="Arial"/>
                <w:szCs w:val="22"/>
              </w:rPr>
            </w:pPr>
            <w:r w:rsidRPr="008C3104">
              <w:rPr>
                <w:rFonts w:asciiTheme="minorHAnsi" w:hAnsiTheme="minorHAnsi" w:cs="Arial"/>
                <w:szCs w:val="22"/>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8C3104">
              <w:rPr>
                <w:rStyle w:val="Odwoanieprzypisudolnego"/>
                <w:rFonts w:asciiTheme="minorHAnsi" w:hAnsiTheme="minorHAnsi" w:cs="Arial"/>
                <w:szCs w:val="22"/>
              </w:rPr>
              <w:footnoteReference w:id="4"/>
            </w:r>
            <w:r w:rsidRPr="008C3104">
              <w:rPr>
                <w:rFonts w:asciiTheme="minorHAnsi" w:hAnsiTheme="minorHAnsi" w:cs="Arial"/>
                <w:szCs w:val="22"/>
              </w:rPr>
              <w:t>, których moc powinna być obliczona na zaspokojenie zapotrzebowania na energię elektryczną w budynku, w którym modernizowane jest źródło ciepła na podstawie zużycia za lata ubiegłe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8C3104" w:rsidRPr="008C3104" w:rsidRDefault="008C3104" w:rsidP="008C3104">
            <w:pPr>
              <w:spacing w:after="0"/>
              <w:ind w:left="68" w:hanging="11"/>
              <w:jc w:val="both"/>
              <w:rPr>
                <w:rFonts w:cs="Arial"/>
                <w:b/>
              </w:rPr>
            </w:pPr>
            <w:r w:rsidRPr="008C3104">
              <w:rPr>
                <w:rFonts w:cs="Arial"/>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IOK metodologii, stanowiącej załącznik nr 6 do regulaminu.  </w:t>
            </w:r>
          </w:p>
          <w:p w:rsidR="008C3104" w:rsidRPr="008C3104" w:rsidRDefault="008C3104" w:rsidP="008C3104">
            <w:pPr>
              <w:spacing w:after="0"/>
              <w:jc w:val="both"/>
              <w:rPr>
                <w:rFonts w:cs="Arial"/>
              </w:rPr>
            </w:pPr>
            <w:r w:rsidRPr="008C3104">
              <w:rPr>
                <w:rFonts w:cs="Arial"/>
              </w:rPr>
              <w:t>Wspomniane inwestycje mogą zostać wsparte jedynie w przypadku, gdy podłączenie do sieci ciepłowniczej na danym obszarze nie jest uzasadnione ekonomicznie (co  wynika z audytu lub Planu Gospodarki Niskoemisyjnej i analizy opcji we wniosku o dofinansowanie) lub jest technicznie niemożliwe.</w:t>
            </w:r>
          </w:p>
          <w:p w:rsidR="008C3104" w:rsidRPr="008C3104" w:rsidRDefault="008C3104" w:rsidP="008C3104">
            <w:pPr>
              <w:spacing w:after="0"/>
              <w:jc w:val="both"/>
              <w:rPr>
                <w:rFonts w:cs="Arial"/>
              </w:rPr>
            </w:pPr>
            <w:r w:rsidRPr="008C3104">
              <w:rPr>
                <w:rFonts w:cs="Arial"/>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8C3104" w:rsidRPr="008C3104" w:rsidRDefault="008C3104" w:rsidP="008C3104">
            <w:pPr>
              <w:spacing w:after="0"/>
              <w:jc w:val="both"/>
              <w:rPr>
                <w:rFonts w:cs="Arial"/>
              </w:rPr>
            </w:pPr>
          </w:p>
          <w:p w:rsidR="008C3104" w:rsidRPr="008C3104" w:rsidRDefault="008C3104" w:rsidP="008C3104">
            <w:pPr>
              <w:spacing w:after="0"/>
              <w:jc w:val="both"/>
              <w:rPr>
                <w:rFonts w:cs="Arial"/>
              </w:rPr>
            </w:pPr>
            <w:r w:rsidRPr="008C3104">
              <w:rPr>
                <w:rFonts w:cs="Arial"/>
              </w:rPr>
              <w:t>Wsparte projekty muszą skutkować redukcją CO</w:t>
            </w:r>
            <w:r w:rsidRPr="008C3104">
              <w:rPr>
                <w:rFonts w:cs="Arial"/>
                <w:vertAlign w:val="subscript"/>
              </w:rPr>
              <w:t>2</w:t>
            </w:r>
            <w:r w:rsidRPr="008C3104">
              <w:rPr>
                <w:rFonts w:cs="Arial"/>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8C3104" w:rsidRPr="008C3104" w:rsidRDefault="008C3104" w:rsidP="008C3104">
            <w:pPr>
              <w:spacing w:after="0"/>
              <w:jc w:val="both"/>
              <w:rPr>
                <w:rFonts w:cs="Arial"/>
              </w:rPr>
            </w:pPr>
          </w:p>
          <w:p w:rsidR="008C3104" w:rsidRPr="008C3104" w:rsidRDefault="008C3104" w:rsidP="008C3104">
            <w:pPr>
              <w:widowControl w:val="0"/>
              <w:spacing w:after="0"/>
              <w:jc w:val="both"/>
              <w:rPr>
                <w:b/>
              </w:rPr>
            </w:pPr>
            <w:r w:rsidRPr="008C3104">
              <w:t>Wszelkie inwestycje powinny być zgodne z unijnymi standardami i przepisami w zakresie ochrony środowiska.</w:t>
            </w:r>
          </w:p>
          <w:p w:rsidR="008C3104" w:rsidRPr="008C3104" w:rsidRDefault="008C3104" w:rsidP="008C3104">
            <w:pPr>
              <w:widowControl w:val="0"/>
              <w:spacing w:after="0"/>
              <w:jc w:val="both"/>
              <w:rPr>
                <w:b/>
              </w:rPr>
            </w:pPr>
          </w:p>
          <w:p w:rsidR="008C3104" w:rsidRPr="008C3104" w:rsidRDefault="008C3104" w:rsidP="008C3104">
            <w:pPr>
              <w:widowControl w:val="0"/>
              <w:spacing w:after="0"/>
              <w:jc w:val="both"/>
              <w:rPr>
                <w:b/>
              </w:rPr>
            </w:pPr>
            <w:r w:rsidRPr="008C3104">
              <w:rPr>
                <w:b/>
              </w:rPr>
              <w:t>Pomoc przyznawana będzie wyłącznie na instalacje dla których sporządzono świadectwo charakterystyki energetycznej / audyt energetyczny / uproszczony audyt energetyczny wg metodologii wskazanej przez IOK i potwierdził on spełnienie warunków zapisanych w dokumentacji konkursowej (redukcję emisji, spełnienie warunku dot. EP itp.).</w:t>
            </w:r>
          </w:p>
          <w:p w:rsidR="008C3104" w:rsidRPr="008C3104" w:rsidRDefault="008C3104" w:rsidP="008C3104">
            <w:pPr>
              <w:widowControl w:val="0"/>
              <w:spacing w:after="0"/>
              <w:jc w:val="both"/>
              <w:rPr>
                <w:b/>
              </w:rPr>
            </w:pPr>
          </w:p>
          <w:p w:rsidR="008C3104" w:rsidRPr="008C3104" w:rsidRDefault="008C3104" w:rsidP="008C3104">
            <w:pPr>
              <w:widowControl w:val="0"/>
              <w:spacing w:after="0"/>
              <w:jc w:val="both"/>
              <w:rPr>
                <w:b/>
              </w:rPr>
            </w:pPr>
            <w:r w:rsidRPr="008C3104">
              <w:rPr>
                <w:b/>
              </w:rPr>
              <w:t>Realizowane przedsięwzięcia muszą wynikać z Planów Gospodarki Niskoemisyjnej.</w:t>
            </w:r>
          </w:p>
          <w:p w:rsidR="008C3104" w:rsidRPr="008C3104" w:rsidRDefault="008C3104" w:rsidP="008C3104">
            <w:pPr>
              <w:widowControl w:val="0"/>
              <w:spacing w:after="0"/>
              <w:jc w:val="both"/>
              <w:rPr>
                <w:b/>
              </w:rPr>
            </w:pPr>
          </w:p>
          <w:p w:rsidR="008C3104" w:rsidRPr="008C3104" w:rsidRDefault="008C3104" w:rsidP="008C3104">
            <w:pPr>
              <w:widowControl w:val="0"/>
              <w:spacing w:after="0"/>
              <w:jc w:val="both"/>
              <w:rPr>
                <w:b/>
              </w:rPr>
            </w:pPr>
            <w:r w:rsidRPr="008C3104">
              <w:rPr>
                <w:b/>
              </w:rPr>
              <w:t>W ramach projektów nie jest możliwa wymiana następujących źródeł ciepła:</w:t>
            </w:r>
          </w:p>
          <w:p w:rsidR="008C3104" w:rsidRPr="008C3104" w:rsidRDefault="008C3104" w:rsidP="008C3104">
            <w:pPr>
              <w:pStyle w:val="Akapitzlist"/>
              <w:widowControl w:val="0"/>
              <w:numPr>
                <w:ilvl w:val="0"/>
                <w:numId w:val="16"/>
              </w:numPr>
              <w:suppressAutoHyphens/>
              <w:autoSpaceDE w:val="0"/>
              <w:autoSpaceDN w:val="0"/>
              <w:adjustRightInd w:val="0"/>
              <w:spacing w:before="120" w:line="276" w:lineRule="auto"/>
              <w:contextualSpacing/>
              <w:jc w:val="both"/>
              <w:textAlignment w:val="baseline"/>
              <w:rPr>
                <w:rFonts w:asciiTheme="minorHAnsi" w:hAnsiTheme="minorHAnsi"/>
                <w:b/>
                <w:szCs w:val="22"/>
              </w:rPr>
            </w:pPr>
            <w:r w:rsidRPr="008C3104">
              <w:rPr>
                <w:rFonts w:asciiTheme="minorHAnsi" w:hAnsiTheme="minorHAnsi"/>
                <w:b/>
                <w:szCs w:val="22"/>
              </w:rPr>
              <w:t xml:space="preserve">dotychczas używanych kotłów gazowych i olejowych na inne źródła ciepła </w:t>
            </w:r>
          </w:p>
          <w:p w:rsidR="008C3104" w:rsidRPr="008C3104" w:rsidRDefault="008C3104" w:rsidP="008C3104">
            <w:pPr>
              <w:pStyle w:val="Akapitzlist"/>
              <w:widowControl w:val="0"/>
              <w:numPr>
                <w:ilvl w:val="0"/>
                <w:numId w:val="16"/>
              </w:numPr>
              <w:suppressAutoHyphens/>
              <w:autoSpaceDE w:val="0"/>
              <w:autoSpaceDN w:val="0"/>
              <w:adjustRightInd w:val="0"/>
              <w:spacing w:before="120" w:line="276" w:lineRule="auto"/>
              <w:contextualSpacing/>
              <w:jc w:val="both"/>
              <w:textAlignment w:val="baseline"/>
              <w:rPr>
                <w:rFonts w:asciiTheme="minorHAnsi" w:hAnsiTheme="minorHAnsi"/>
                <w:b/>
                <w:szCs w:val="22"/>
              </w:rPr>
            </w:pPr>
            <w:r w:rsidRPr="008C3104">
              <w:rPr>
                <w:rFonts w:asciiTheme="minorHAnsi" w:hAnsiTheme="minorHAnsi"/>
                <w:b/>
                <w:szCs w:val="22"/>
              </w:rPr>
              <w:t>dotychczas używanych źródeł ciepła na kotły węglowe, w tym na ekogoroszek, niezależnie od ich klasy oraz kotły olejowe</w:t>
            </w:r>
          </w:p>
          <w:p w:rsidR="008C3104" w:rsidRPr="008C3104" w:rsidRDefault="008C3104" w:rsidP="008C3104">
            <w:pPr>
              <w:spacing w:after="0"/>
              <w:jc w:val="both"/>
              <w:rPr>
                <w:rFonts w:cs="Arial"/>
                <w:b/>
              </w:rPr>
            </w:pPr>
          </w:p>
          <w:p w:rsidR="008C3104" w:rsidRPr="008C3104" w:rsidRDefault="008C3104" w:rsidP="008C3104">
            <w:pPr>
              <w:spacing w:after="0"/>
              <w:jc w:val="both"/>
              <w:rPr>
                <w:rFonts w:cs="Arial"/>
                <w:b/>
              </w:rPr>
            </w:pPr>
            <w:r w:rsidRPr="008C3104">
              <w:rPr>
                <w:rFonts w:cs="Arial"/>
                <w:b/>
              </w:rPr>
              <w:t>UWAGA:</w:t>
            </w:r>
          </w:p>
          <w:p w:rsidR="008C3104" w:rsidRPr="008C3104" w:rsidRDefault="008C3104" w:rsidP="008C3104">
            <w:pPr>
              <w:spacing w:after="0"/>
              <w:jc w:val="both"/>
              <w:rPr>
                <w:rFonts w:cs="Arial"/>
                <w:b/>
              </w:rPr>
            </w:pPr>
            <w:r w:rsidRPr="008C3104">
              <w:rPr>
                <w:rFonts w:cs="Arial"/>
                <w:b/>
              </w:rPr>
              <w:t>1) Projekty muszą być realizowane na obszarze Aglomeracji Wałbrzyskiej.</w:t>
            </w:r>
          </w:p>
          <w:p w:rsidR="008C3104" w:rsidRPr="008C3104" w:rsidRDefault="008C3104" w:rsidP="008C3104">
            <w:pPr>
              <w:pStyle w:val="Nagwek"/>
              <w:spacing w:line="276" w:lineRule="auto"/>
              <w:jc w:val="both"/>
            </w:pPr>
            <w:r w:rsidRPr="008C3104">
              <w:rPr>
                <w:rFonts w:cs="Arial"/>
                <w:b/>
              </w:rPr>
              <w:t>2) Jeden Wnioskodawca może złożyć w tym naborze tylko jeden wniosek o dofinansowanie</w:t>
            </w:r>
            <w:bookmarkStart w:id="5" w:name="_Toc499633765"/>
            <w:bookmarkEnd w:id="5"/>
            <w:r w:rsidRPr="008C3104">
              <w:rPr>
                <w:rFonts w:cs="Arial"/>
                <w:b/>
              </w:rPr>
              <w:t>.</w:t>
            </w:r>
            <w:r w:rsidRPr="008C3104">
              <w:t xml:space="preserve"> </w:t>
            </w:r>
            <w:r w:rsidRPr="008C3104">
              <w:rPr>
                <w:rFonts w:cs="Arial"/>
                <w:b/>
              </w:rPr>
              <w:t>Zasada dotyczy również projektów partnerskich – Wnioskodawca nie może brać udziału w projekcie partnerskim jako partner, jeśli składa wniosek samodzielnie w tym samym konkursie.</w:t>
            </w:r>
          </w:p>
          <w:p w:rsidR="008C3104" w:rsidRPr="008C3104" w:rsidRDefault="008C3104" w:rsidP="008C3104">
            <w:pPr>
              <w:pStyle w:val="Nagwek"/>
              <w:spacing w:line="276" w:lineRule="auto"/>
              <w:ind w:left="357"/>
              <w:jc w:val="both"/>
              <w:rPr>
                <w:highlight w:val="yellow"/>
              </w:rPr>
            </w:pPr>
          </w:p>
          <w:p w:rsidR="008C3104" w:rsidRPr="008C3104" w:rsidRDefault="008C3104" w:rsidP="008C3104">
            <w:pPr>
              <w:spacing w:after="120"/>
              <w:ind w:left="68" w:hanging="11"/>
              <w:jc w:val="both"/>
              <w:rPr>
                <w:rFonts w:cstheme="minorHAnsi"/>
              </w:rPr>
            </w:pPr>
            <w:r w:rsidRPr="008C3104">
              <w:rPr>
                <w:rFonts w:cstheme="minorHAnsi"/>
              </w:rPr>
              <w:t>Projekt powinien uwzględniać ułatwienie dostępu do obsługi urządzeń przez osoby niepełnosprawne zamieszkujące w domach jednorodzinnych lub mieszkaniach, w których dokonywana jest modernizacja źródła ciepła.</w:t>
            </w:r>
          </w:p>
          <w:p w:rsidR="008C3104" w:rsidRPr="008C3104" w:rsidRDefault="008C3104" w:rsidP="008C3104">
            <w:pPr>
              <w:spacing w:after="120"/>
              <w:ind w:left="68" w:hanging="11"/>
              <w:jc w:val="both"/>
              <w:rPr>
                <w:rFonts w:cs="Arial"/>
              </w:rPr>
            </w:pPr>
            <w:r w:rsidRPr="008C3104">
              <w:rPr>
                <w:rFonts w:cs="Arial"/>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8C3104" w:rsidRPr="008C3104" w:rsidRDefault="008C3104" w:rsidP="008C3104">
            <w:pPr>
              <w:spacing w:after="120"/>
              <w:ind w:left="68" w:hanging="11"/>
              <w:jc w:val="both"/>
              <w:rPr>
                <w:rFonts w:cs="Arial"/>
              </w:rPr>
            </w:pPr>
            <w:r w:rsidRPr="008C3104">
              <w:rPr>
                <w:rFonts w:cs="Arial"/>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Poznaj Fundusze Europejskie bez barier znajdującej się na stronie internetowej RPO WD (http://rpo.dolnyslask.pl/o-projekcie/poznaj-fundusze-europejskie-bez-barier/). Na szczególną uwagę na tej stronie zasługuje Poradnik opublikowany przez Ministerstwo Inwestycji i Rozwoju "Realizacja zasady równości szans i niedyskryminacji, w tym dostępności dla osób z niepełnosprawnościami".</w:t>
            </w:r>
            <w:r w:rsidRPr="008C3104">
              <w:t xml:space="preserve"> </w:t>
            </w:r>
          </w:p>
          <w:p w:rsidR="008C3104" w:rsidRPr="008C3104" w:rsidRDefault="008C3104" w:rsidP="008C3104">
            <w:pPr>
              <w:pStyle w:val="CM1"/>
              <w:spacing w:before="200" w:after="120" w:line="276" w:lineRule="auto"/>
              <w:jc w:val="both"/>
              <w:rPr>
                <w:rFonts w:asciiTheme="minorHAnsi" w:hAnsiTheme="minorHAnsi" w:cs="Calibri"/>
                <w:sz w:val="22"/>
                <w:szCs w:val="22"/>
              </w:rPr>
            </w:pPr>
            <w:r w:rsidRPr="008C3104">
              <w:rPr>
                <w:rFonts w:asciiTheme="minorHAnsi" w:hAnsiTheme="minorHAnsi" w:cs="Calibri"/>
                <w:sz w:val="22"/>
                <w:szCs w:val="22"/>
              </w:rPr>
              <w:t>Kategorie interwencji dla niniejszych konkursów:</w:t>
            </w:r>
          </w:p>
          <w:p w:rsidR="00D064B9" w:rsidRPr="00436944" w:rsidRDefault="008C3104" w:rsidP="008C3104">
            <w:pPr>
              <w:autoSpaceDE w:val="0"/>
              <w:autoSpaceDN w:val="0"/>
              <w:adjustRightInd w:val="0"/>
              <w:spacing w:before="60" w:after="120"/>
              <w:jc w:val="both"/>
              <w:rPr>
                <w:bCs/>
              </w:rPr>
            </w:pPr>
            <w:r w:rsidRPr="008C3104">
              <w:rPr>
                <w:rFonts w:cs="EUAlbertina"/>
              </w:rPr>
              <w:t xml:space="preserve">014 </w:t>
            </w:r>
            <w:r w:rsidRPr="008C3104">
              <w:rPr>
                <w:rStyle w:val="Pogrubienie"/>
                <w:b w:val="0"/>
              </w:rPr>
              <w:t>Renowacja istniejących budynków mieszkalnych dla celów efektywności energetycznej, projekty demonstracyjne i środki wsparcia.</w:t>
            </w:r>
          </w:p>
        </w:tc>
      </w:tr>
      <w:tr w:rsidR="00436944" w:rsidRPr="00436944" w:rsidTr="006D7C1A">
        <w:tc>
          <w:tcPr>
            <w:tcW w:w="534" w:type="dxa"/>
          </w:tcPr>
          <w:p w:rsidR="00A01F5F" w:rsidRPr="00436944" w:rsidRDefault="00A01F5F" w:rsidP="00341F0C">
            <w:pPr>
              <w:autoSpaceDE w:val="0"/>
              <w:autoSpaceDN w:val="0"/>
              <w:adjustRightInd w:val="0"/>
              <w:spacing w:after="0" w:line="240" w:lineRule="auto"/>
              <w:jc w:val="both"/>
              <w:rPr>
                <w:rFonts w:cs="Calibri"/>
              </w:rPr>
            </w:pPr>
            <w:r w:rsidRPr="00436944">
              <w:rPr>
                <w:rFonts w:cs="Calibri"/>
                <w:b/>
                <w:bCs/>
              </w:rPr>
              <w:lastRenderedPageBreak/>
              <w:t xml:space="preserve">4. </w:t>
            </w:r>
          </w:p>
        </w:tc>
        <w:tc>
          <w:tcPr>
            <w:tcW w:w="2268" w:type="dxa"/>
          </w:tcPr>
          <w:p w:rsidR="00C00EE8" w:rsidRPr="00436944" w:rsidRDefault="00C00EE8" w:rsidP="00341F0C">
            <w:pPr>
              <w:autoSpaceDE w:val="0"/>
              <w:autoSpaceDN w:val="0"/>
              <w:adjustRightInd w:val="0"/>
              <w:spacing w:line="240" w:lineRule="auto"/>
              <w:jc w:val="both"/>
              <w:rPr>
                <w:rFonts w:cs="Calibri"/>
                <w:b/>
                <w:bCs/>
              </w:rPr>
            </w:pPr>
            <w:r w:rsidRPr="00436944">
              <w:rPr>
                <w:rFonts w:cs="Calibri"/>
                <w:b/>
                <w:bCs/>
              </w:rPr>
              <w:t xml:space="preserve">Typy wnioskodawców/beneficjentów: </w:t>
            </w:r>
          </w:p>
          <w:p w:rsidR="00A01F5F" w:rsidRPr="00436944" w:rsidRDefault="00A01F5F" w:rsidP="00341F0C">
            <w:pPr>
              <w:autoSpaceDE w:val="0"/>
              <w:autoSpaceDN w:val="0"/>
              <w:adjustRightInd w:val="0"/>
              <w:spacing w:after="0" w:line="240" w:lineRule="auto"/>
              <w:jc w:val="both"/>
              <w:rPr>
                <w:rFonts w:cs="Calibri"/>
              </w:rPr>
            </w:pPr>
          </w:p>
        </w:tc>
        <w:tc>
          <w:tcPr>
            <w:tcW w:w="7494" w:type="dxa"/>
          </w:tcPr>
          <w:p w:rsidR="009A2A34" w:rsidRPr="00E32183" w:rsidRDefault="009A2A34" w:rsidP="009A2A34">
            <w:pPr>
              <w:pStyle w:val="Akapitzlist1"/>
              <w:autoSpaceDE w:val="0"/>
              <w:autoSpaceDN w:val="0"/>
              <w:adjustRightInd w:val="0"/>
              <w:spacing w:after="0"/>
              <w:ind w:left="0"/>
              <w:jc w:val="both"/>
            </w:pPr>
            <w:r w:rsidRPr="00E32183">
              <w:t>O dofinansowanie w ramach konkursu mogą ubiegać się następujące typy Wnioskodawców/Beneficjentów:</w:t>
            </w:r>
          </w:p>
          <w:p w:rsidR="009A2A34" w:rsidRPr="00E32183" w:rsidRDefault="009A2A34" w:rsidP="009A2A34">
            <w:pPr>
              <w:numPr>
                <w:ilvl w:val="0"/>
                <w:numId w:val="21"/>
              </w:numPr>
              <w:spacing w:after="0"/>
              <w:ind w:hanging="210"/>
              <w:jc w:val="both"/>
            </w:pPr>
            <w:r w:rsidRPr="00E32183">
              <w:t>jednostki samorządu terytorialnego, ich związki i stowarzyszenia;</w:t>
            </w:r>
          </w:p>
          <w:p w:rsidR="009A2A34" w:rsidRPr="00E32183" w:rsidRDefault="009A2A34" w:rsidP="009A2A34">
            <w:pPr>
              <w:numPr>
                <w:ilvl w:val="0"/>
                <w:numId w:val="21"/>
              </w:numPr>
              <w:spacing w:after="0"/>
              <w:ind w:hanging="210"/>
              <w:jc w:val="both"/>
            </w:pPr>
            <w:r w:rsidRPr="00E32183">
              <w:t>podmioty publiczne</w:t>
            </w:r>
            <w:r w:rsidRPr="00E32183">
              <w:rPr>
                <w:rStyle w:val="Odwoanieprzypisudolnego"/>
              </w:rPr>
              <w:footnoteReference w:id="5"/>
            </w:r>
            <w:r w:rsidRPr="00E32183">
              <w:t>, których właścicielem jest JST lub dla których podmiotem założycielskim jest JST;</w:t>
            </w:r>
          </w:p>
          <w:p w:rsidR="009A2A34" w:rsidRPr="00E32183" w:rsidRDefault="009A2A34" w:rsidP="009A2A34">
            <w:pPr>
              <w:numPr>
                <w:ilvl w:val="0"/>
                <w:numId w:val="21"/>
              </w:numPr>
              <w:spacing w:after="0"/>
              <w:ind w:hanging="210"/>
              <w:jc w:val="both"/>
            </w:pPr>
            <w:r w:rsidRPr="00E32183">
              <w:t>jednostki organizacyjne jst;</w:t>
            </w:r>
          </w:p>
          <w:p w:rsidR="009A2A34" w:rsidRPr="00E32183" w:rsidRDefault="009A2A34" w:rsidP="009A2A34">
            <w:pPr>
              <w:numPr>
                <w:ilvl w:val="0"/>
                <w:numId w:val="21"/>
              </w:numPr>
              <w:spacing w:after="0"/>
              <w:ind w:hanging="210"/>
              <w:jc w:val="both"/>
            </w:pPr>
            <w:r w:rsidRPr="00E32183">
              <w:t>spółdzielnie mieszkaniowe i wspólnoty mieszkaniowe;</w:t>
            </w:r>
          </w:p>
          <w:p w:rsidR="009A2A34" w:rsidRPr="00E32183" w:rsidRDefault="009A2A34" w:rsidP="009A2A34">
            <w:pPr>
              <w:numPr>
                <w:ilvl w:val="0"/>
                <w:numId w:val="21"/>
              </w:numPr>
              <w:spacing w:after="0"/>
              <w:ind w:hanging="210"/>
              <w:jc w:val="both"/>
            </w:pPr>
            <w:r w:rsidRPr="00E32183">
              <w:t>towarzystwa budownictwa społecznego;</w:t>
            </w:r>
          </w:p>
          <w:p w:rsidR="009A2A34" w:rsidRPr="00E32183" w:rsidRDefault="009A2A34" w:rsidP="009A2A34">
            <w:pPr>
              <w:numPr>
                <w:ilvl w:val="0"/>
                <w:numId w:val="21"/>
              </w:numPr>
              <w:spacing w:after="0"/>
              <w:ind w:hanging="210"/>
              <w:jc w:val="both"/>
            </w:pPr>
            <w:r w:rsidRPr="00E32183">
              <w:t>organizacje pozarządowe;</w:t>
            </w:r>
          </w:p>
          <w:p w:rsidR="009A2A34" w:rsidRPr="00E32183" w:rsidRDefault="009A2A34" w:rsidP="009A2A34">
            <w:pPr>
              <w:numPr>
                <w:ilvl w:val="0"/>
                <w:numId w:val="21"/>
              </w:numPr>
              <w:spacing w:after="0"/>
              <w:ind w:hanging="210"/>
              <w:jc w:val="both"/>
            </w:pPr>
            <w:r w:rsidRPr="00E32183">
              <w:t>PGL Lasy Państwowe i jego jednostki organizacyjne;</w:t>
            </w:r>
          </w:p>
          <w:p w:rsidR="009A2A34" w:rsidRPr="00E32183" w:rsidRDefault="009A2A34" w:rsidP="009A2A34">
            <w:pPr>
              <w:numPr>
                <w:ilvl w:val="0"/>
                <w:numId w:val="21"/>
              </w:numPr>
              <w:spacing w:after="0"/>
              <w:ind w:hanging="210"/>
              <w:jc w:val="both"/>
            </w:pPr>
            <w:r w:rsidRPr="00E32183">
              <w:t>kościoły, związki wyznaniowe oraz osoby prawne kościołów i związków wyznaniowych;</w:t>
            </w:r>
          </w:p>
          <w:p w:rsidR="009A2A34" w:rsidRDefault="009A2A34" w:rsidP="009A2A34">
            <w:pPr>
              <w:numPr>
                <w:ilvl w:val="0"/>
                <w:numId w:val="21"/>
              </w:numPr>
              <w:spacing w:after="0"/>
              <w:ind w:hanging="210"/>
              <w:jc w:val="both"/>
            </w:pPr>
            <w:r w:rsidRPr="00E32183">
              <w:t>jednostki sektora finansów publicznych, inne niż wymienione powyżej;</w:t>
            </w:r>
          </w:p>
          <w:p w:rsidR="00A01E77" w:rsidRPr="00436944" w:rsidRDefault="009A2A34" w:rsidP="009A2A34">
            <w:pPr>
              <w:jc w:val="both"/>
            </w:pPr>
            <w:r w:rsidRPr="00181360">
              <w:t>Do identyfikacji podmiotu publicznego należy stosować definicję zapisaną w ustawie z dnia 19 grudnia 2008 r. o partnerstwie publiczno-prywatnym.</w:t>
            </w:r>
          </w:p>
        </w:tc>
      </w:tr>
      <w:tr w:rsidR="00436944" w:rsidRPr="00436944" w:rsidTr="006D7C1A">
        <w:tc>
          <w:tcPr>
            <w:tcW w:w="534" w:type="dxa"/>
          </w:tcPr>
          <w:p w:rsidR="00A01F5F" w:rsidRPr="00436944" w:rsidRDefault="00A01F5F" w:rsidP="00341F0C">
            <w:pPr>
              <w:autoSpaceDE w:val="0"/>
              <w:autoSpaceDN w:val="0"/>
              <w:adjustRightInd w:val="0"/>
              <w:spacing w:after="0" w:line="240" w:lineRule="auto"/>
              <w:jc w:val="both"/>
              <w:rPr>
                <w:rFonts w:cs="Calibri"/>
                <w:b/>
                <w:bCs/>
              </w:rPr>
            </w:pPr>
            <w:r w:rsidRPr="00436944">
              <w:rPr>
                <w:rFonts w:cs="Calibri"/>
                <w:b/>
                <w:bCs/>
              </w:rPr>
              <w:t>5.</w:t>
            </w:r>
          </w:p>
        </w:tc>
        <w:tc>
          <w:tcPr>
            <w:tcW w:w="2268" w:type="dxa"/>
          </w:tcPr>
          <w:p w:rsidR="00A01F5F" w:rsidRPr="00436944" w:rsidRDefault="00A01F5F" w:rsidP="00341F0C">
            <w:pPr>
              <w:pStyle w:val="Default"/>
              <w:jc w:val="both"/>
              <w:rPr>
                <w:rFonts w:asciiTheme="minorHAnsi" w:hAnsiTheme="minorHAnsi"/>
                <w:b/>
                <w:bCs/>
                <w:color w:val="auto"/>
                <w:sz w:val="22"/>
                <w:szCs w:val="22"/>
              </w:rPr>
            </w:pPr>
            <w:r w:rsidRPr="00436944">
              <w:rPr>
                <w:rFonts w:asciiTheme="minorHAnsi" w:hAnsiTheme="minorHAnsi"/>
                <w:b/>
                <w:bCs/>
                <w:color w:val="auto"/>
                <w:sz w:val="22"/>
                <w:szCs w:val="22"/>
              </w:rPr>
              <w:t xml:space="preserve">Kwota przeznaczona na dofinansowanie projektów </w:t>
            </w:r>
            <w:r w:rsidRPr="00436944">
              <w:rPr>
                <w:rFonts w:asciiTheme="minorHAnsi" w:hAnsiTheme="minorHAnsi"/>
                <w:b/>
                <w:bCs/>
                <w:color w:val="auto"/>
                <w:sz w:val="22"/>
                <w:szCs w:val="22"/>
              </w:rPr>
              <w:br/>
              <w:t xml:space="preserve">w konkursie: </w:t>
            </w:r>
          </w:p>
          <w:p w:rsidR="00A01F5F" w:rsidRPr="00436944" w:rsidRDefault="00A01F5F" w:rsidP="00341F0C">
            <w:pPr>
              <w:pStyle w:val="Default"/>
              <w:jc w:val="both"/>
              <w:rPr>
                <w:rFonts w:asciiTheme="minorHAnsi" w:hAnsiTheme="minorHAnsi"/>
                <w:color w:val="auto"/>
                <w:sz w:val="22"/>
                <w:szCs w:val="22"/>
              </w:rPr>
            </w:pPr>
          </w:p>
          <w:p w:rsidR="00A01F5F" w:rsidRPr="00436944" w:rsidRDefault="00A01F5F" w:rsidP="00341F0C">
            <w:pPr>
              <w:autoSpaceDE w:val="0"/>
              <w:autoSpaceDN w:val="0"/>
              <w:adjustRightInd w:val="0"/>
              <w:spacing w:after="0" w:line="240" w:lineRule="auto"/>
              <w:jc w:val="both"/>
              <w:rPr>
                <w:rFonts w:cs="Calibri"/>
                <w:b/>
                <w:bCs/>
              </w:rPr>
            </w:pPr>
          </w:p>
        </w:tc>
        <w:tc>
          <w:tcPr>
            <w:tcW w:w="7494" w:type="dxa"/>
          </w:tcPr>
          <w:p w:rsidR="00EF7051" w:rsidRDefault="00626FD4" w:rsidP="00626FD4">
            <w:pPr>
              <w:spacing w:afterLines="112" w:after="268"/>
              <w:jc w:val="both"/>
            </w:pPr>
            <w:r w:rsidRPr="007869DA">
              <w:t xml:space="preserve">Alokacja przeznaczona na konkurs wynosi </w:t>
            </w:r>
            <w:r w:rsidRPr="007869DA">
              <w:rPr>
                <w:b/>
              </w:rPr>
              <w:t xml:space="preserve">1 384 307 </w:t>
            </w:r>
            <w:r w:rsidRPr="007869DA">
              <w:rPr>
                <w:rStyle w:val="Pogrubienie"/>
              </w:rPr>
              <w:t xml:space="preserve">euro, tj. 5 940 891 zł </w:t>
            </w:r>
            <w:r w:rsidRPr="007869DA">
              <w:t>(alokacja przeliczona po kursie Europejskiego Banku Centralnego (EBC) obowiązującym w grudniu 2018 r., 1 euro = 4, 2916 zł – kurs z dnia 29 listopada 2018 r.), w tym na procedurę odwoławczą 15% kwoty przeznaczonej na konkurs</w:t>
            </w:r>
            <w:r>
              <w:t xml:space="preserve"> (</w:t>
            </w:r>
            <w:r w:rsidRPr="001074E4">
              <w:t xml:space="preserve">wnioskowana w projekcie wartość dofinansowania nie może być większa niż alokacja przeznaczona na konkurs pomniejszona o </w:t>
            </w:r>
            <w:r w:rsidR="00EF7051">
              <w:t xml:space="preserve">kwotę przeznaczoną na procedurę </w:t>
            </w:r>
            <w:r w:rsidRPr="001074E4">
              <w:t>odwoławczą</w:t>
            </w:r>
            <w:r>
              <w:t>)</w:t>
            </w:r>
            <w:r w:rsidR="00EF7051">
              <w:t xml:space="preserve">. </w:t>
            </w:r>
          </w:p>
          <w:p w:rsidR="00626FD4" w:rsidRPr="007869DA" w:rsidRDefault="00626FD4" w:rsidP="00626FD4">
            <w:pPr>
              <w:spacing w:afterLines="112" w:after="268"/>
              <w:jc w:val="both"/>
            </w:pPr>
            <w:r w:rsidRPr="007869DA">
              <w:t>Ze względu na kurs euro limit dostępnych środków może ulec zmianie. Dokładna kwota dofinansowania zostanie określona na etapie zatwierdzania listy ocenionych projektów.</w:t>
            </w:r>
          </w:p>
          <w:p w:rsidR="00626FD4" w:rsidRPr="007869DA" w:rsidRDefault="00626FD4" w:rsidP="00626FD4">
            <w:pPr>
              <w:spacing w:afterLines="112" w:after="268"/>
              <w:jc w:val="both"/>
            </w:pPr>
            <w:r w:rsidRPr="007869DA">
              <w:t>Kwota alokacji do czasu rozstrzygnięcia naboru może ulec zmniejszeniu ze względu na pozytywnie rozpatrywane protesty w ramach poddziałania.</w:t>
            </w:r>
          </w:p>
          <w:p w:rsidR="00A01F5F" w:rsidRPr="00436944" w:rsidRDefault="00626FD4" w:rsidP="00626FD4">
            <w:pPr>
              <w:spacing w:after="112"/>
              <w:jc w:val="both"/>
            </w:pPr>
            <w:r w:rsidRPr="007869DA">
              <w:t>W trakcie trwania naboru (poprzez zmianę regulaminu konkursu) lub po rozstrzygnięciu konkursu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tc>
      </w:tr>
      <w:tr w:rsidR="00436944" w:rsidRPr="00436944" w:rsidTr="006D7C1A">
        <w:tc>
          <w:tcPr>
            <w:tcW w:w="534" w:type="dxa"/>
          </w:tcPr>
          <w:p w:rsidR="00D7282B" w:rsidRPr="00436944" w:rsidRDefault="00D7282B" w:rsidP="00341F0C">
            <w:pPr>
              <w:autoSpaceDE w:val="0"/>
              <w:autoSpaceDN w:val="0"/>
              <w:adjustRightInd w:val="0"/>
              <w:spacing w:after="0" w:line="240" w:lineRule="auto"/>
              <w:jc w:val="both"/>
              <w:rPr>
                <w:rFonts w:cs="Calibri"/>
                <w:b/>
                <w:bCs/>
              </w:rPr>
            </w:pPr>
            <w:r w:rsidRPr="00436944">
              <w:rPr>
                <w:rFonts w:cs="Calibri"/>
                <w:b/>
                <w:bCs/>
              </w:rPr>
              <w:t>6.</w:t>
            </w:r>
          </w:p>
        </w:tc>
        <w:tc>
          <w:tcPr>
            <w:tcW w:w="2268" w:type="dxa"/>
          </w:tcPr>
          <w:p w:rsidR="00D7282B" w:rsidRPr="00436944" w:rsidRDefault="00964F81" w:rsidP="00341F0C">
            <w:pPr>
              <w:pStyle w:val="Nagwek1"/>
              <w:spacing w:line="240" w:lineRule="auto"/>
              <w:jc w:val="both"/>
              <w:rPr>
                <w:rFonts w:asciiTheme="minorHAnsi" w:hAnsiTheme="minorHAnsi"/>
                <w:sz w:val="22"/>
                <w:szCs w:val="22"/>
              </w:rPr>
            </w:pPr>
            <w:bookmarkStart w:id="6" w:name="_Toc525627516"/>
            <w:r w:rsidRPr="00436944">
              <w:rPr>
                <w:rFonts w:asciiTheme="minorHAnsi" w:hAnsiTheme="minorHAnsi"/>
                <w:sz w:val="22"/>
                <w:szCs w:val="22"/>
              </w:rPr>
              <w:t>Minimalna wartość wydatków kwalifikowalnych projektu</w:t>
            </w:r>
            <w:bookmarkEnd w:id="6"/>
            <w:r w:rsidRPr="00436944">
              <w:rPr>
                <w:rFonts w:asciiTheme="minorHAnsi" w:hAnsiTheme="minorHAnsi"/>
                <w:sz w:val="22"/>
                <w:szCs w:val="22"/>
              </w:rPr>
              <w:t xml:space="preserve"> </w:t>
            </w:r>
          </w:p>
        </w:tc>
        <w:tc>
          <w:tcPr>
            <w:tcW w:w="7494" w:type="dxa"/>
          </w:tcPr>
          <w:p w:rsidR="00C97002" w:rsidRPr="00C97002" w:rsidRDefault="008E0684" w:rsidP="00C97002">
            <w:pPr>
              <w:autoSpaceDE w:val="0"/>
              <w:autoSpaceDN w:val="0"/>
              <w:adjustRightInd w:val="0"/>
              <w:spacing w:before="120" w:after="120"/>
              <w:jc w:val="both"/>
            </w:pPr>
            <w:r w:rsidRPr="00436944">
              <w:t>Minimalna wartość wnioskowanego dofinansowania: 500 000 PLN</w:t>
            </w:r>
          </w:p>
          <w:p w:rsidR="00D7282B" w:rsidRPr="00436944" w:rsidRDefault="00D7282B" w:rsidP="008E0684">
            <w:pPr>
              <w:tabs>
                <w:tab w:val="left" w:pos="3290"/>
              </w:tabs>
              <w:spacing w:after="0"/>
              <w:jc w:val="both"/>
              <w:rPr>
                <w:rFonts w:eastAsia="Times New Roman" w:cs="Arial"/>
                <w:b/>
                <w:bCs/>
              </w:rPr>
            </w:pPr>
          </w:p>
        </w:tc>
      </w:tr>
      <w:tr w:rsidR="00436944" w:rsidRPr="00436944" w:rsidTr="006D7C1A">
        <w:tc>
          <w:tcPr>
            <w:tcW w:w="534" w:type="dxa"/>
          </w:tcPr>
          <w:p w:rsidR="00D7282B" w:rsidRPr="00436944" w:rsidRDefault="00D7282B" w:rsidP="00341F0C">
            <w:pPr>
              <w:autoSpaceDE w:val="0"/>
              <w:autoSpaceDN w:val="0"/>
              <w:adjustRightInd w:val="0"/>
              <w:spacing w:after="0" w:line="240" w:lineRule="auto"/>
              <w:jc w:val="both"/>
              <w:rPr>
                <w:rFonts w:cs="Calibri"/>
                <w:b/>
                <w:bCs/>
              </w:rPr>
            </w:pPr>
            <w:r w:rsidRPr="00436944">
              <w:rPr>
                <w:rFonts w:cs="Calibri"/>
                <w:b/>
                <w:bCs/>
              </w:rPr>
              <w:t>7.</w:t>
            </w:r>
          </w:p>
        </w:tc>
        <w:tc>
          <w:tcPr>
            <w:tcW w:w="2268" w:type="dxa"/>
          </w:tcPr>
          <w:p w:rsidR="00D7282B" w:rsidRPr="00436944" w:rsidRDefault="00964F81" w:rsidP="00341F0C">
            <w:pPr>
              <w:pStyle w:val="Nagwek1"/>
              <w:jc w:val="both"/>
              <w:rPr>
                <w:rFonts w:asciiTheme="minorHAnsi" w:hAnsiTheme="minorHAnsi"/>
                <w:sz w:val="22"/>
                <w:szCs w:val="22"/>
              </w:rPr>
            </w:pPr>
            <w:bookmarkStart w:id="7" w:name="_Toc525627517"/>
            <w:r w:rsidRPr="00436944">
              <w:rPr>
                <w:rFonts w:asciiTheme="minorHAnsi" w:hAnsiTheme="minorHAnsi"/>
                <w:sz w:val="22"/>
                <w:szCs w:val="22"/>
              </w:rPr>
              <w:t>Maksymalna wartość wydatków kwalifikowalnych projektu</w:t>
            </w:r>
            <w:bookmarkEnd w:id="7"/>
            <w:r w:rsidRPr="00436944">
              <w:rPr>
                <w:rFonts w:asciiTheme="minorHAnsi" w:hAnsiTheme="minorHAnsi"/>
                <w:sz w:val="22"/>
                <w:szCs w:val="22"/>
              </w:rPr>
              <w:t xml:space="preserve"> </w:t>
            </w:r>
          </w:p>
        </w:tc>
        <w:tc>
          <w:tcPr>
            <w:tcW w:w="7494" w:type="dxa"/>
          </w:tcPr>
          <w:p w:rsidR="00D7282B" w:rsidRPr="00436944" w:rsidRDefault="00D7282B" w:rsidP="00341F0C">
            <w:pPr>
              <w:autoSpaceDE w:val="0"/>
              <w:autoSpaceDN w:val="0"/>
              <w:adjustRightInd w:val="0"/>
              <w:spacing w:after="0"/>
              <w:jc w:val="both"/>
              <w:rPr>
                <w:rFonts w:cs="Arial"/>
              </w:rPr>
            </w:pPr>
            <w:r w:rsidRPr="00436944">
              <w:rPr>
                <w:rFonts w:cs="Arial"/>
              </w:rPr>
              <w:t>Nie dotyczy.</w:t>
            </w:r>
          </w:p>
          <w:p w:rsidR="00964F81" w:rsidRPr="00436944" w:rsidRDefault="00964F81" w:rsidP="00341F0C">
            <w:pPr>
              <w:spacing w:after="269" w:line="240" w:lineRule="auto"/>
              <w:jc w:val="both"/>
            </w:pPr>
          </w:p>
        </w:tc>
      </w:tr>
      <w:tr w:rsidR="00436944" w:rsidRPr="00436944" w:rsidTr="006D7C1A">
        <w:tc>
          <w:tcPr>
            <w:tcW w:w="534" w:type="dxa"/>
          </w:tcPr>
          <w:p w:rsidR="00C84DDA" w:rsidRPr="00436944" w:rsidRDefault="00C84DDA" w:rsidP="00341F0C">
            <w:pPr>
              <w:autoSpaceDE w:val="0"/>
              <w:autoSpaceDN w:val="0"/>
              <w:adjustRightInd w:val="0"/>
              <w:spacing w:after="0" w:line="240" w:lineRule="auto"/>
              <w:jc w:val="both"/>
              <w:rPr>
                <w:rFonts w:cs="Calibri"/>
                <w:b/>
                <w:bCs/>
              </w:rPr>
            </w:pPr>
            <w:r w:rsidRPr="00436944">
              <w:rPr>
                <w:rFonts w:cs="Calibri"/>
                <w:b/>
                <w:bCs/>
              </w:rPr>
              <w:t>8.</w:t>
            </w:r>
          </w:p>
        </w:tc>
        <w:tc>
          <w:tcPr>
            <w:tcW w:w="2268" w:type="dxa"/>
          </w:tcPr>
          <w:p w:rsidR="00C84DDA" w:rsidRPr="00436944" w:rsidRDefault="00C84DDA" w:rsidP="00341F0C">
            <w:pPr>
              <w:pStyle w:val="Default"/>
              <w:jc w:val="both"/>
              <w:rPr>
                <w:rFonts w:asciiTheme="minorHAnsi" w:hAnsiTheme="minorHAnsi"/>
                <w:color w:val="auto"/>
                <w:sz w:val="22"/>
                <w:szCs w:val="22"/>
              </w:rPr>
            </w:pPr>
            <w:r w:rsidRPr="00436944">
              <w:rPr>
                <w:rFonts w:asciiTheme="minorHAnsi" w:hAnsiTheme="minorHAnsi"/>
                <w:b/>
                <w:bCs/>
                <w:color w:val="auto"/>
                <w:sz w:val="22"/>
                <w:szCs w:val="22"/>
              </w:rPr>
              <w:t xml:space="preserve">Maksymalny dopuszczalny poziom dofinansowania projektu lub maksymalna dopuszczalna kwota do dofinansowania projektu: </w:t>
            </w:r>
          </w:p>
          <w:p w:rsidR="00C84DDA" w:rsidRPr="00436944" w:rsidRDefault="00C84DDA" w:rsidP="00341F0C">
            <w:pPr>
              <w:autoSpaceDE w:val="0"/>
              <w:autoSpaceDN w:val="0"/>
              <w:adjustRightInd w:val="0"/>
              <w:spacing w:after="0" w:line="240" w:lineRule="auto"/>
              <w:jc w:val="both"/>
              <w:rPr>
                <w:rFonts w:cs="Calibri"/>
                <w:b/>
                <w:bCs/>
              </w:rPr>
            </w:pPr>
          </w:p>
        </w:tc>
        <w:tc>
          <w:tcPr>
            <w:tcW w:w="7494" w:type="dxa"/>
          </w:tcPr>
          <w:p w:rsidR="0047791A" w:rsidRPr="0047791A" w:rsidRDefault="0047791A" w:rsidP="0047791A">
            <w:pPr>
              <w:spacing w:afterLines="112" w:after="268"/>
              <w:ind w:hanging="11"/>
              <w:jc w:val="both"/>
              <w:rPr>
                <w:bCs/>
              </w:rPr>
            </w:pPr>
            <w:r w:rsidRPr="0047791A">
              <w:rPr>
                <w:bCs/>
              </w:rPr>
              <w:t xml:space="preserve">W przypadku projektów nie objętych pomocą publiczną oraz nie generujących dochodu maksymalny limit dofinansowania ze środków EFRR wynosi </w:t>
            </w:r>
            <w:r w:rsidRPr="0047791A">
              <w:rPr>
                <w:b/>
                <w:bCs/>
              </w:rPr>
              <w:t>do 85% wydatków kwalifikowalnych</w:t>
            </w:r>
            <w:r w:rsidRPr="0047791A">
              <w:rPr>
                <w:bCs/>
              </w:rPr>
              <w:t xml:space="preserve"> (z uwzględnieniem dopuszczalnych limitów kwalifikowalności wydatków dla projektów wynikających z zał. nr 7 do SZOOP). Dodatkowo dla pozostałych projektów:</w:t>
            </w:r>
          </w:p>
          <w:p w:rsidR="0047791A" w:rsidRPr="0047791A" w:rsidRDefault="0047791A" w:rsidP="0047791A">
            <w:pPr>
              <w:pStyle w:val="Akapitzlist"/>
              <w:numPr>
                <w:ilvl w:val="0"/>
                <w:numId w:val="25"/>
              </w:numPr>
              <w:spacing w:before="0" w:afterLines="112" w:after="268" w:line="276" w:lineRule="auto"/>
              <w:contextualSpacing/>
              <w:jc w:val="both"/>
              <w:rPr>
                <w:rFonts w:asciiTheme="minorHAnsi" w:hAnsiTheme="minorHAnsi"/>
                <w:bCs/>
              </w:rPr>
            </w:pPr>
            <w:r w:rsidRPr="0047791A">
              <w:rPr>
                <w:rFonts w:asciiTheme="minorHAnsi" w:hAnsiTheme="minorHAnsi"/>
                <w:bCs/>
              </w:rPr>
              <w:t>objętych pomocą de minimis maksymalny limit dofinansowania należy zweryfikować czy całkowita kwota pomocy de minimis dla danego podmiotu (jednego przedsiębiorstwa) w okresie trzech lat podatkowych (z uwzględnieniem wnioskowanej kwoty pomocy de minimis oraz pomocy de minimis otrzymanej z innych źródeł) nie przekracza równowartości 200 000 euro;</w:t>
            </w:r>
          </w:p>
          <w:p w:rsidR="0047791A" w:rsidRPr="0047791A" w:rsidRDefault="0047791A" w:rsidP="0047791A">
            <w:pPr>
              <w:pStyle w:val="Akapitzlist"/>
              <w:numPr>
                <w:ilvl w:val="0"/>
                <w:numId w:val="25"/>
              </w:numPr>
              <w:spacing w:before="0" w:afterLines="112" w:after="268" w:line="276" w:lineRule="auto"/>
              <w:contextualSpacing/>
              <w:jc w:val="both"/>
              <w:rPr>
                <w:rFonts w:asciiTheme="minorHAnsi" w:hAnsiTheme="minorHAnsi"/>
                <w:bCs/>
              </w:rPr>
            </w:pPr>
            <w:r w:rsidRPr="0047791A">
              <w:rPr>
                <w:rFonts w:asciiTheme="minorHAnsi" w:hAnsiTheme="minorHAnsi"/>
                <w:bCs/>
              </w:rPr>
              <w:t>nie objętych pomocą publiczną ale generujących dochód poziom dofinansowania musi zostać ustalony zgodnie z Wytycznymi w zakresie zagadnień związanych z przygotowaniem projektów inwestycyjnych, w tym projektów generujących dochód i projektów hybrydowych na lata 2014-2020.</w:t>
            </w:r>
          </w:p>
          <w:p w:rsidR="0047791A" w:rsidRPr="0047791A" w:rsidRDefault="0047791A" w:rsidP="0047791A">
            <w:pPr>
              <w:pStyle w:val="Akapitzlist"/>
              <w:numPr>
                <w:ilvl w:val="0"/>
                <w:numId w:val="25"/>
              </w:numPr>
              <w:spacing w:before="0" w:afterLines="112" w:after="268" w:line="276" w:lineRule="auto"/>
              <w:contextualSpacing/>
              <w:jc w:val="both"/>
              <w:rPr>
                <w:rFonts w:asciiTheme="minorHAnsi" w:hAnsiTheme="minorHAnsi"/>
                <w:bCs/>
              </w:rPr>
            </w:pPr>
            <w:r w:rsidRPr="0047791A">
              <w:rPr>
                <w:rFonts w:asciiTheme="minorHAnsi" w:hAnsiTheme="minorHAnsi"/>
                <w:bCs/>
              </w:rPr>
              <w:t xml:space="preserve">w przypadku pomocy udzielanej na podstawie GBER – poziom dofinansowania –musi zostać ustalony </w:t>
            </w:r>
            <w:r w:rsidRPr="0047791A">
              <w:rPr>
                <w:rFonts w:asciiTheme="minorHAnsi" w:hAnsiTheme="minorHAnsi"/>
                <w:b/>
                <w:bCs/>
              </w:rPr>
              <w:t>zgodnie z limitem  określonym w rozporządzeniu</w:t>
            </w:r>
            <w:r w:rsidRPr="0047791A">
              <w:rPr>
                <w:rFonts w:asciiTheme="minorHAnsi" w:hAnsiTheme="minorHAnsi"/>
                <w:bCs/>
              </w:rPr>
              <w:t>:</w:t>
            </w:r>
          </w:p>
          <w:p w:rsidR="0047791A" w:rsidRPr="0047791A" w:rsidRDefault="0047791A" w:rsidP="0047791A">
            <w:pPr>
              <w:pStyle w:val="Akapitzlist"/>
              <w:numPr>
                <w:ilvl w:val="0"/>
                <w:numId w:val="23"/>
              </w:numPr>
              <w:spacing w:before="0" w:afterLines="112" w:after="268" w:line="276" w:lineRule="auto"/>
              <w:ind w:left="709"/>
              <w:contextualSpacing/>
              <w:jc w:val="both"/>
              <w:rPr>
                <w:rFonts w:asciiTheme="minorHAnsi" w:hAnsiTheme="minorHAnsi"/>
              </w:rPr>
            </w:pPr>
            <w:r w:rsidRPr="0047791A">
              <w:rPr>
                <w:rFonts w:asciiTheme="minorHAnsi" w:hAnsiTheme="minorHAnsi"/>
              </w:rPr>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rsidR="0047791A" w:rsidRPr="0047791A" w:rsidRDefault="0047791A" w:rsidP="0047791A">
            <w:pPr>
              <w:pStyle w:val="Akapitzlist"/>
              <w:numPr>
                <w:ilvl w:val="0"/>
                <w:numId w:val="23"/>
              </w:numPr>
              <w:spacing w:before="0" w:afterLines="112" w:after="268" w:line="276" w:lineRule="auto"/>
              <w:ind w:left="709"/>
              <w:contextualSpacing/>
              <w:jc w:val="both"/>
              <w:rPr>
                <w:rFonts w:asciiTheme="minorHAnsi" w:hAnsiTheme="minorHAnsi"/>
              </w:rPr>
            </w:pPr>
            <w:r w:rsidRPr="0047791A">
              <w:rPr>
                <w:rFonts w:asciiTheme="minorHAnsi" w:hAnsiTheme="minorHAnsi"/>
              </w:rPr>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47791A" w:rsidRPr="0047791A" w:rsidRDefault="0047791A" w:rsidP="0047791A">
            <w:pPr>
              <w:spacing w:afterLines="112" w:after="268"/>
              <w:ind w:left="11" w:hanging="11"/>
              <w:jc w:val="both"/>
              <w:rPr>
                <w:bCs/>
              </w:rPr>
            </w:pPr>
            <w:r w:rsidRPr="0047791A">
              <w:rPr>
                <w:bCs/>
              </w:rPr>
              <w:t xml:space="preserve">W przypadku wystąpienia pomocy de minimis dofinansowanie może być udzielane na podstawie </w:t>
            </w:r>
            <w:r w:rsidRPr="0047791A">
              <w:t>rozporządzenia Komisji (UE) nr 1407/2013 z dnia 18 grudnia 2013 r. w sprawie stosowania art. 107 i 108 Traktatu o funkcjonowaniu Unii Europejskiej do pomocy de minimis oraz</w:t>
            </w:r>
            <w:r w:rsidRPr="0047791A">
              <w:rPr>
                <w:bCs/>
              </w:rPr>
              <w:t xml:space="preserve"> rozporządzenia Ministra Infrastruktury i Rozwoju z dnia 19 marca 2015 r. w sprawie udzielania pomocy de minimis w ramach regionalnych programów operacyjnych na lata 2014-2020. </w:t>
            </w:r>
          </w:p>
          <w:p w:rsidR="0047791A" w:rsidRPr="0047791A" w:rsidRDefault="0047791A" w:rsidP="0047791A">
            <w:pPr>
              <w:spacing w:after="0"/>
              <w:jc w:val="both"/>
            </w:pPr>
            <w:r w:rsidRPr="0047791A">
              <w:t xml:space="preserve">Pomoc publiczna / de minimis (w tym pomoc na drugim poziomie, tj. udzielana przez beneficjenta projektu ostatecznemu odbiorcy)  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mikroinstalacji OZE w domu jednorodzinnym / budynku wielorodzinnym w którym nie jest prowadzona działalność gospodarcza / którego właściciel / najemca nie jest przedsiębiorcą nie stanowi pomocy publicznej jeśli spełnione zostaną wszystkie poniższe warunki: </w:t>
            </w:r>
          </w:p>
          <w:p w:rsidR="0047791A" w:rsidRPr="0047791A" w:rsidRDefault="0047791A" w:rsidP="0047791A">
            <w:pPr>
              <w:pStyle w:val="Akapitzlist"/>
              <w:numPr>
                <w:ilvl w:val="0"/>
                <w:numId w:val="24"/>
              </w:numPr>
              <w:spacing w:before="0" w:line="276" w:lineRule="auto"/>
              <w:contextualSpacing/>
              <w:jc w:val="both"/>
              <w:rPr>
                <w:rFonts w:asciiTheme="minorHAnsi" w:hAnsiTheme="minorHAnsi"/>
              </w:rPr>
            </w:pPr>
            <w:r w:rsidRPr="0047791A">
              <w:rPr>
                <w:rFonts w:asciiTheme="minorHAnsi" w:hAnsiTheme="minorHAnsi"/>
              </w:rPr>
              <w:t>podmiot nie prowadzi działalności gospodarczej i nie udostępnia powierzchni innym podmiotom w celu prowadzenia działalności gospodarczej,</w:t>
            </w:r>
          </w:p>
          <w:p w:rsidR="0047791A" w:rsidRPr="0047791A" w:rsidRDefault="0047791A" w:rsidP="0047791A">
            <w:pPr>
              <w:pStyle w:val="Akapitzlist"/>
              <w:numPr>
                <w:ilvl w:val="0"/>
                <w:numId w:val="24"/>
              </w:numPr>
              <w:spacing w:before="0" w:line="276" w:lineRule="auto"/>
              <w:contextualSpacing/>
              <w:jc w:val="both"/>
              <w:rPr>
                <w:rFonts w:asciiTheme="minorHAnsi" w:hAnsiTheme="minorHAnsi"/>
              </w:rPr>
            </w:pPr>
            <w:r w:rsidRPr="0047791A">
              <w:rPr>
                <w:rFonts w:asciiTheme="minorHAnsi" w:hAnsiTheme="minorHAnsi"/>
              </w:rPr>
              <w:t xml:space="preserve"> wytworzona energia jest zużywana na potrzeby własne,</w:t>
            </w:r>
          </w:p>
          <w:p w:rsidR="0047791A" w:rsidRPr="0047791A" w:rsidRDefault="0047791A" w:rsidP="0047791A">
            <w:pPr>
              <w:pStyle w:val="Akapitzlist"/>
              <w:numPr>
                <w:ilvl w:val="0"/>
                <w:numId w:val="24"/>
              </w:numPr>
              <w:spacing w:before="0" w:line="276" w:lineRule="auto"/>
              <w:contextualSpacing/>
              <w:jc w:val="both"/>
              <w:rPr>
                <w:rFonts w:asciiTheme="minorHAnsi" w:hAnsiTheme="minorHAnsi"/>
              </w:rPr>
            </w:pPr>
            <w:r w:rsidRPr="0047791A">
              <w:rPr>
                <w:rFonts w:asciiTheme="minorHAnsi" w:hAnsiTheme="minorHAnsi"/>
              </w:rPr>
              <w:t>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w:t>
            </w:r>
          </w:p>
          <w:p w:rsidR="0047791A" w:rsidRPr="0047791A" w:rsidRDefault="0047791A" w:rsidP="0047791A">
            <w:pPr>
              <w:spacing w:after="0"/>
              <w:jc w:val="both"/>
            </w:pPr>
            <w:r w:rsidRPr="0047791A">
              <w:t>Zgodnie z interpretacją KE, łączne spełnienie ww. warunków pozwala na uznanie, iż wprowadzenie nadwyżek wytworzonej energii elektrycznej do sieci stanowi działalność o charakterze pomocniczym, bez konieczności dokonywania obliczeń odnoszących się do ograniczenia wydajności działalności gospodarczej do 20% całkowitej rocznej wydajności infrastruktury.</w:t>
            </w:r>
          </w:p>
          <w:p w:rsidR="0047791A" w:rsidRPr="0047791A" w:rsidRDefault="0047791A" w:rsidP="0047791A">
            <w:pPr>
              <w:spacing w:after="0"/>
              <w:jc w:val="both"/>
            </w:pPr>
          </w:p>
          <w:p w:rsidR="0047791A" w:rsidRPr="0047791A" w:rsidRDefault="0047791A" w:rsidP="0047791A">
            <w:pPr>
              <w:spacing w:after="0"/>
              <w:jc w:val="both"/>
            </w:pPr>
            <w:r w:rsidRPr="0047791A">
              <w:t>Pomoc publiczna wystąpi również w przypadku, gdy wnioskodawcą/beneficjentem będzie podmiot z zasady prowadzący działalność gospodarczą w dziedzinie mieszkalnictwa, taki jak spółdzielnia mieszkaniowa lub TBS (zgodnie z interpretacją UOKiK).</w:t>
            </w:r>
          </w:p>
          <w:p w:rsidR="0047791A" w:rsidRPr="0047791A" w:rsidRDefault="0047791A" w:rsidP="0047791A">
            <w:pPr>
              <w:spacing w:after="0"/>
              <w:jc w:val="both"/>
            </w:pPr>
          </w:p>
          <w:p w:rsidR="0047791A" w:rsidRPr="0047791A" w:rsidRDefault="0047791A" w:rsidP="0047791A">
            <w:pPr>
              <w:spacing w:after="0"/>
              <w:jc w:val="both"/>
            </w:pPr>
            <w:r w:rsidRPr="0047791A">
              <w:t>Istnieje możliwość realizacji projektów „mieszanych”, tzn. objętych w części pomocą publiczną (tj. w zakresie w jakim dot. działalności gospodarczej wnioskodawcy) a w części wsparciem niestanowiącym pomocy (tj. w zakresie prowadzonej działalności niegospodarczej). Dotyczy to wyłącznie takich projektów, gdzie istnieje możliwość wyodrębnienia elementów projektu przyporządkowanych do działalności gospodarczej i niegospodarczej Wnioskodawcy. W powyższym przypadku należy pamiętać o konieczności prowadzenia rozdzielnej rachunkowości dla działalności gospodarczej i niegospodarczej – przez cały okres realizacji projektu i okres trwałości. Konsekwencją niedochowania powyższych warunków w okresie trwałości projektu może być częściowy lub całkowity zwrot dofinansowania.  W przypadku projektów „mieszanych” konieczność spełnienia „efektu zachęty” oznacza rozpoczęcie realizacji części projektu objętej pomocą publiczną po złożeniu wniosku o dofinansowanie.</w:t>
            </w:r>
          </w:p>
          <w:p w:rsidR="0047791A" w:rsidRPr="0047791A" w:rsidRDefault="0047791A" w:rsidP="0047791A">
            <w:pPr>
              <w:spacing w:after="0"/>
              <w:ind w:left="1066"/>
              <w:jc w:val="both"/>
            </w:pPr>
          </w:p>
          <w:p w:rsidR="00C84DDA" w:rsidRPr="0047791A" w:rsidRDefault="0047791A" w:rsidP="0047791A">
            <w:pPr>
              <w:spacing w:after="0"/>
              <w:jc w:val="both"/>
            </w:pPr>
            <w:r w:rsidRPr="0047791A">
              <w:t>Wszystkie regulacje dotyczące pomocy publicznej dostępne są na stronie www.funduszeeuropejskie.gov.pl.</w:t>
            </w:r>
          </w:p>
        </w:tc>
      </w:tr>
      <w:tr w:rsidR="00436944" w:rsidRPr="00436944" w:rsidTr="006D7C1A">
        <w:tc>
          <w:tcPr>
            <w:tcW w:w="534" w:type="dxa"/>
          </w:tcPr>
          <w:p w:rsidR="00C84DDA" w:rsidRPr="00436944" w:rsidRDefault="00C84DDA" w:rsidP="00341F0C">
            <w:pPr>
              <w:autoSpaceDE w:val="0"/>
              <w:autoSpaceDN w:val="0"/>
              <w:adjustRightInd w:val="0"/>
              <w:spacing w:after="0" w:line="240" w:lineRule="auto"/>
              <w:jc w:val="both"/>
              <w:rPr>
                <w:rFonts w:cs="Calibri"/>
                <w:b/>
                <w:bCs/>
              </w:rPr>
            </w:pPr>
            <w:r w:rsidRPr="00436944">
              <w:rPr>
                <w:rFonts w:cs="Calibri"/>
                <w:b/>
                <w:bCs/>
              </w:rPr>
              <w:t>9.</w:t>
            </w:r>
          </w:p>
        </w:tc>
        <w:tc>
          <w:tcPr>
            <w:tcW w:w="2268" w:type="dxa"/>
          </w:tcPr>
          <w:p w:rsidR="00C84DDA" w:rsidRPr="00436944" w:rsidRDefault="00C84DDA" w:rsidP="00341F0C">
            <w:pPr>
              <w:pStyle w:val="Default"/>
              <w:jc w:val="both"/>
              <w:rPr>
                <w:rFonts w:asciiTheme="minorHAnsi" w:hAnsiTheme="minorHAnsi"/>
                <w:color w:val="auto"/>
                <w:sz w:val="22"/>
                <w:szCs w:val="22"/>
              </w:rPr>
            </w:pPr>
            <w:r w:rsidRPr="00436944">
              <w:rPr>
                <w:rFonts w:asciiTheme="minorHAnsi" w:hAnsiTheme="minorHAnsi"/>
                <w:b/>
                <w:bCs/>
                <w:color w:val="auto"/>
                <w:sz w:val="22"/>
                <w:szCs w:val="22"/>
              </w:rPr>
              <w:t xml:space="preserve">Minimalny wkład własny beneficjenta jako % wydatków kwalifikowalnych: </w:t>
            </w:r>
          </w:p>
          <w:p w:rsidR="00C84DDA" w:rsidRPr="00436944" w:rsidRDefault="00C84DDA" w:rsidP="00341F0C">
            <w:pPr>
              <w:pStyle w:val="Default"/>
              <w:jc w:val="both"/>
              <w:rPr>
                <w:rFonts w:asciiTheme="minorHAnsi" w:hAnsiTheme="minorHAnsi"/>
                <w:b/>
                <w:bCs/>
                <w:color w:val="auto"/>
                <w:sz w:val="22"/>
                <w:szCs w:val="22"/>
              </w:rPr>
            </w:pPr>
          </w:p>
        </w:tc>
        <w:tc>
          <w:tcPr>
            <w:tcW w:w="7494" w:type="dxa"/>
          </w:tcPr>
          <w:p w:rsidR="00AD4A9A" w:rsidRPr="00E32183" w:rsidRDefault="00AD4A9A" w:rsidP="00AD4A9A">
            <w:pPr>
              <w:pStyle w:val="Default"/>
              <w:spacing w:before="120" w:after="120" w:line="276" w:lineRule="auto"/>
              <w:jc w:val="both"/>
              <w:rPr>
                <w:rFonts w:asciiTheme="minorHAnsi" w:hAnsiTheme="minorHAnsi"/>
                <w:color w:val="auto"/>
                <w:sz w:val="22"/>
                <w:szCs w:val="22"/>
              </w:rPr>
            </w:pPr>
            <w:r w:rsidRPr="00E32183">
              <w:rPr>
                <w:rFonts w:asciiTheme="minorHAnsi" w:hAnsiTheme="minorHAnsi"/>
                <w:color w:val="auto"/>
                <w:sz w:val="22"/>
                <w:szCs w:val="22"/>
              </w:rPr>
              <w:t>Minimalny wkład własny Beneficjenta na poziomie projektu wynosi 15% –  w przypadku projektów nieobjętych pomocą publiczną</w:t>
            </w:r>
            <w:r>
              <w:rPr>
                <w:rFonts w:asciiTheme="minorHAnsi" w:hAnsiTheme="minorHAnsi"/>
                <w:color w:val="auto"/>
                <w:sz w:val="22"/>
                <w:szCs w:val="22"/>
              </w:rPr>
              <w:t xml:space="preserve"> (z ew. uwzględnieniem</w:t>
            </w:r>
            <w:r w:rsidRPr="00E32183">
              <w:rPr>
                <w:rFonts w:asciiTheme="minorHAnsi" w:hAnsiTheme="minorHAnsi"/>
                <w:color w:val="auto"/>
                <w:sz w:val="22"/>
                <w:szCs w:val="22"/>
              </w:rPr>
              <w:t xml:space="preserve"> </w:t>
            </w:r>
            <w:r>
              <w:rPr>
                <w:rFonts w:asciiTheme="minorHAnsi" w:hAnsiTheme="minorHAnsi"/>
                <w:color w:val="auto"/>
                <w:sz w:val="22"/>
                <w:szCs w:val="22"/>
              </w:rPr>
              <w:t xml:space="preserve">dochodu) </w:t>
            </w:r>
            <w:r w:rsidRPr="00E32183">
              <w:rPr>
                <w:rFonts w:asciiTheme="minorHAnsi" w:hAnsiTheme="minorHAnsi"/>
                <w:color w:val="auto"/>
                <w:sz w:val="22"/>
                <w:szCs w:val="22"/>
              </w:rPr>
              <w:t xml:space="preserve">albo objętych pomocą </w:t>
            </w:r>
            <w:r w:rsidRPr="00E32183">
              <w:rPr>
                <w:rFonts w:asciiTheme="minorHAnsi" w:hAnsiTheme="minorHAnsi"/>
                <w:i/>
                <w:color w:val="auto"/>
                <w:sz w:val="22"/>
                <w:szCs w:val="22"/>
              </w:rPr>
              <w:t>de minimis</w:t>
            </w:r>
            <w:r w:rsidRPr="00E32183">
              <w:rPr>
                <w:rFonts w:asciiTheme="minorHAnsi" w:hAnsiTheme="minorHAnsi"/>
                <w:color w:val="auto"/>
                <w:sz w:val="22"/>
                <w:szCs w:val="22"/>
              </w:rPr>
              <w:t>.</w:t>
            </w:r>
          </w:p>
          <w:p w:rsidR="00AD4A9A" w:rsidRPr="00E32183" w:rsidRDefault="00AD4A9A" w:rsidP="00AD4A9A">
            <w:pPr>
              <w:pStyle w:val="Default"/>
              <w:spacing w:before="120" w:after="120" w:line="276" w:lineRule="auto"/>
              <w:jc w:val="both"/>
              <w:rPr>
                <w:rFonts w:asciiTheme="minorHAnsi" w:hAnsiTheme="minorHAnsi"/>
                <w:color w:val="auto"/>
                <w:sz w:val="22"/>
                <w:szCs w:val="22"/>
              </w:rPr>
            </w:pPr>
            <w:r w:rsidRPr="00E32183">
              <w:rPr>
                <w:rFonts w:asciiTheme="minorHAnsi" w:hAnsiTheme="minorHAnsi"/>
                <w:color w:val="auto"/>
                <w:sz w:val="22"/>
                <w:szCs w:val="22"/>
              </w:rPr>
              <w:t>W przypadku projektów objętych pomocą publiczną: zgodnie z właściwymi przepisami prawa unijnego i krajowego dotyczącego zasad udzielania tej pomocy, obowiązującymi w momencie udzielania wsparcia.</w:t>
            </w:r>
          </w:p>
          <w:p w:rsidR="00C84DDA" w:rsidRPr="00436944" w:rsidRDefault="00AD4A9A" w:rsidP="00637BA2">
            <w:pPr>
              <w:pStyle w:val="Default"/>
              <w:spacing w:after="120" w:line="276" w:lineRule="auto"/>
              <w:jc w:val="both"/>
              <w:rPr>
                <w:rFonts w:asciiTheme="minorHAnsi" w:hAnsiTheme="minorHAnsi"/>
                <w:color w:val="auto"/>
                <w:sz w:val="22"/>
                <w:szCs w:val="22"/>
              </w:rPr>
            </w:pPr>
            <w:r w:rsidRPr="00E32183">
              <w:rPr>
                <w:rFonts w:asciiTheme="minorHAnsi" w:hAnsiTheme="minorHAnsi"/>
                <w:color w:val="auto"/>
                <w:sz w:val="22"/>
                <w:szCs w:val="22"/>
              </w:rPr>
              <w:t>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tc>
      </w:tr>
      <w:tr w:rsidR="00436944" w:rsidRPr="00436944" w:rsidTr="006D7C1A">
        <w:tc>
          <w:tcPr>
            <w:tcW w:w="534" w:type="dxa"/>
          </w:tcPr>
          <w:p w:rsidR="00BE28F5" w:rsidRPr="00436944" w:rsidRDefault="00BE28F5" w:rsidP="00341F0C">
            <w:pPr>
              <w:autoSpaceDE w:val="0"/>
              <w:autoSpaceDN w:val="0"/>
              <w:adjustRightInd w:val="0"/>
              <w:spacing w:after="0" w:line="240" w:lineRule="auto"/>
              <w:jc w:val="both"/>
              <w:rPr>
                <w:rFonts w:cs="Calibri"/>
                <w:b/>
                <w:bCs/>
              </w:rPr>
            </w:pPr>
            <w:r w:rsidRPr="00436944">
              <w:rPr>
                <w:rFonts w:cs="Calibri"/>
                <w:b/>
                <w:bCs/>
              </w:rPr>
              <w:t>10.</w:t>
            </w:r>
          </w:p>
        </w:tc>
        <w:tc>
          <w:tcPr>
            <w:tcW w:w="2268" w:type="dxa"/>
          </w:tcPr>
          <w:p w:rsidR="00BE28F5" w:rsidRPr="00436944" w:rsidRDefault="00BE28F5" w:rsidP="00341F0C">
            <w:pPr>
              <w:pStyle w:val="Default"/>
              <w:jc w:val="both"/>
              <w:rPr>
                <w:rFonts w:asciiTheme="minorHAnsi" w:hAnsiTheme="minorHAnsi"/>
                <w:color w:val="auto"/>
                <w:sz w:val="22"/>
                <w:szCs w:val="22"/>
              </w:rPr>
            </w:pPr>
            <w:r w:rsidRPr="00436944">
              <w:rPr>
                <w:rFonts w:asciiTheme="minorHAnsi" w:hAnsiTheme="minorHAnsi"/>
                <w:b/>
                <w:bCs/>
                <w:color w:val="auto"/>
                <w:sz w:val="22"/>
                <w:szCs w:val="22"/>
              </w:rPr>
              <w:t xml:space="preserve">Termin, miejsce </w:t>
            </w:r>
            <w:r w:rsidRPr="00436944">
              <w:rPr>
                <w:rFonts w:asciiTheme="minorHAnsi" w:hAnsiTheme="minorHAnsi"/>
                <w:b/>
                <w:bCs/>
                <w:color w:val="auto"/>
                <w:sz w:val="22"/>
                <w:szCs w:val="22"/>
              </w:rPr>
              <w:br/>
              <w:t xml:space="preserve">i forma składania wniosków o dofinansowanie projektu: </w:t>
            </w:r>
          </w:p>
          <w:p w:rsidR="00BE28F5" w:rsidRPr="00436944" w:rsidRDefault="00BE28F5" w:rsidP="00341F0C">
            <w:pPr>
              <w:pStyle w:val="Default"/>
              <w:jc w:val="both"/>
              <w:rPr>
                <w:rFonts w:asciiTheme="minorHAnsi" w:hAnsiTheme="minorHAnsi"/>
                <w:b/>
                <w:bCs/>
                <w:color w:val="auto"/>
                <w:sz w:val="22"/>
                <w:szCs w:val="22"/>
              </w:rPr>
            </w:pPr>
          </w:p>
        </w:tc>
        <w:tc>
          <w:tcPr>
            <w:tcW w:w="7494" w:type="dxa"/>
          </w:tcPr>
          <w:p w:rsidR="00BE18C2" w:rsidRPr="00436944" w:rsidRDefault="00BE18C2" w:rsidP="00341F0C">
            <w:pPr>
              <w:spacing w:after="112" w:line="240" w:lineRule="auto"/>
              <w:jc w:val="both"/>
            </w:pPr>
            <w:r w:rsidRPr="00436944">
              <w:t xml:space="preserve">Wnioskodawca/Beneficjent wypełnia wniosek o dofinansowanie za pośrednictwem aplikacji – generator wniosków o dofinansowanie EFRR – dostępny na stronie </w:t>
            </w:r>
            <w:hyperlink r:id="rId14">
              <w:r w:rsidRPr="00436944">
                <w:rPr>
                  <w:u w:val="single" w:color="0000FF"/>
                </w:rPr>
                <w:t>https://snow</w:t>
              </w:r>
            </w:hyperlink>
            <w:hyperlink r:id="rId15">
              <w:r w:rsidRPr="00436944">
                <w:rPr>
                  <w:u w:val="single" w:color="0000FF"/>
                </w:rPr>
                <w:t>-</w:t>
              </w:r>
            </w:hyperlink>
            <w:hyperlink r:id="rId16">
              <w:r w:rsidRPr="00436944">
                <w:rPr>
                  <w:u w:val="single" w:color="0000FF"/>
                </w:rPr>
                <w:t>ipaw.dolnyslask.pl</w:t>
              </w:r>
            </w:hyperlink>
            <w:hyperlink r:id="rId17">
              <w:r w:rsidRPr="00436944">
                <w:rPr>
                  <w:u w:val="single" w:color="0000FF"/>
                </w:rPr>
                <w:t xml:space="preserve"> </w:t>
              </w:r>
            </w:hyperlink>
            <w:r w:rsidRPr="00436944">
              <w:t>i przesyła do IOK w ramach niniejszego konkursu w terminie:</w:t>
            </w:r>
          </w:p>
          <w:p w:rsidR="00BE18C2" w:rsidRPr="00436944" w:rsidRDefault="00BE18C2" w:rsidP="00341F0C">
            <w:pPr>
              <w:spacing w:after="112" w:line="240" w:lineRule="auto"/>
              <w:jc w:val="both"/>
            </w:pPr>
            <w:r w:rsidRPr="00436944">
              <w:rPr>
                <w:b/>
              </w:rPr>
              <w:t xml:space="preserve">od godz. 8.00 dnia </w:t>
            </w:r>
            <w:r w:rsidR="007E21D3">
              <w:rPr>
                <w:b/>
              </w:rPr>
              <w:t>22 stycznia 2019</w:t>
            </w:r>
            <w:r w:rsidRPr="00436944">
              <w:rPr>
                <w:b/>
              </w:rPr>
              <w:t xml:space="preserve"> r. do go</w:t>
            </w:r>
            <w:r w:rsidR="004607F7" w:rsidRPr="00436944">
              <w:rPr>
                <w:b/>
              </w:rPr>
              <w:t>dz. 15.00 dnia 28</w:t>
            </w:r>
            <w:r w:rsidR="002B6EE6">
              <w:rPr>
                <w:b/>
              </w:rPr>
              <w:t xml:space="preserve"> marca</w:t>
            </w:r>
            <w:r w:rsidR="004607F7" w:rsidRPr="00436944">
              <w:rPr>
                <w:b/>
              </w:rPr>
              <w:t xml:space="preserve"> 2019</w:t>
            </w:r>
            <w:r w:rsidRPr="00436944">
              <w:rPr>
                <w:b/>
              </w:rPr>
              <w:t xml:space="preserve"> r.</w:t>
            </w:r>
          </w:p>
          <w:p w:rsidR="00BE18C2" w:rsidRPr="00436944" w:rsidRDefault="00BE18C2" w:rsidP="00341F0C">
            <w:pPr>
              <w:spacing w:after="0" w:line="240" w:lineRule="auto"/>
              <w:jc w:val="both"/>
            </w:pPr>
            <w:r w:rsidRPr="00436944">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BE18C2" w:rsidRPr="00436944" w:rsidRDefault="00BE18C2" w:rsidP="00341F0C">
            <w:pPr>
              <w:spacing w:after="0" w:line="240" w:lineRule="auto"/>
              <w:jc w:val="both"/>
            </w:pPr>
            <w:r w:rsidRPr="00436944">
              <w:t xml:space="preserve">Ponadto ww. terminie </w:t>
            </w:r>
            <w:r w:rsidRPr="00436944">
              <w:rPr>
                <w:b/>
              </w:rPr>
              <w:t xml:space="preserve">do godz. 15.00 dnia </w:t>
            </w:r>
            <w:r w:rsidR="005A5980" w:rsidRPr="00436944">
              <w:rPr>
                <w:b/>
              </w:rPr>
              <w:t xml:space="preserve">28 </w:t>
            </w:r>
            <w:r w:rsidR="002B6EE6">
              <w:rPr>
                <w:b/>
              </w:rPr>
              <w:t>marca</w:t>
            </w:r>
            <w:r w:rsidR="002B6EE6" w:rsidRPr="00436944">
              <w:rPr>
                <w:b/>
              </w:rPr>
              <w:t xml:space="preserve"> </w:t>
            </w:r>
            <w:r w:rsidR="005A5980" w:rsidRPr="00436944">
              <w:rPr>
                <w:b/>
              </w:rPr>
              <w:t>2019</w:t>
            </w:r>
            <w:r w:rsidRPr="00436944">
              <w:rPr>
                <w:b/>
              </w:rPr>
              <w:t xml:space="preserve"> r.</w:t>
            </w:r>
            <w:r w:rsidRPr="00436944">
              <w:t xml:space="preserve">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BE18C2" w:rsidRPr="00436944" w:rsidRDefault="00BE18C2" w:rsidP="00341F0C">
            <w:pPr>
              <w:spacing w:after="112" w:line="240" w:lineRule="auto"/>
              <w:jc w:val="both"/>
            </w:pPr>
            <w:r w:rsidRPr="00436944">
              <w:t xml:space="preserve">Jednocześnie, wymaganą analizę finansową (w postaci arkuszy kalkulacyjnych w formacie Excel z aktywnymi formułami) przedłożyć należy na nośniku CD. </w:t>
            </w:r>
          </w:p>
          <w:p w:rsidR="00BE18C2" w:rsidRPr="00436944" w:rsidRDefault="00BE18C2" w:rsidP="00341F0C">
            <w:pPr>
              <w:spacing w:after="112" w:line="240" w:lineRule="auto"/>
              <w:jc w:val="both"/>
            </w:pPr>
            <w:r w:rsidRPr="00436944">
              <w:t xml:space="preserve">Załączniki będące kopiami dokumentów muszą być potwierdzone „za zgodność z oryginałem” przez osobę/osoby uprawnione do podpisania wniosku o dofinansowanie zgodnie z dokumentami statutowymi lub załączonym do wniosku pełnomocnictwem. Załączniki złożone w wersji elektronicznej wniosku muszą być tożsame z załącznikami złożonymi w wersji papierowej wniosku. Wnioski wypełnione odręcznie oraz/lub w języku obcym (obowiązuje język polski), nie będą rozpatrywane.  </w:t>
            </w:r>
          </w:p>
          <w:p w:rsidR="00BE18C2" w:rsidRPr="00436944" w:rsidRDefault="00BE18C2" w:rsidP="00341F0C">
            <w:pPr>
              <w:spacing w:after="243" w:line="240" w:lineRule="auto"/>
              <w:jc w:val="both"/>
            </w:pPr>
            <w:r w:rsidRPr="00436944">
              <w:rPr>
                <w:b/>
              </w:rPr>
              <w:t xml:space="preserve">Za datę wpływu do IOK uznaje się datę wpływu wniosku w wersji papierowej. </w:t>
            </w:r>
          </w:p>
          <w:p w:rsidR="00BE18C2" w:rsidRPr="00436944" w:rsidRDefault="00BE18C2" w:rsidP="00341F0C">
            <w:pPr>
              <w:spacing w:after="243" w:line="240" w:lineRule="auto"/>
              <w:jc w:val="both"/>
            </w:pPr>
            <w:r w:rsidRPr="00436944">
              <w:t xml:space="preserve">Papierowa wersja wniosku może zostać dostarczona:  </w:t>
            </w:r>
          </w:p>
          <w:p w:rsidR="00BE18C2" w:rsidRPr="00436944" w:rsidRDefault="00BE18C2" w:rsidP="00341F0C">
            <w:pPr>
              <w:spacing w:after="0" w:line="240" w:lineRule="auto"/>
              <w:jc w:val="both"/>
            </w:pPr>
            <w:r w:rsidRPr="00436944">
              <w:t xml:space="preserve">a) osobiście lub za pośrednictwem kuriera do sekretariatu IPAW mieszczącego się pod adresem: </w:t>
            </w:r>
          </w:p>
          <w:p w:rsidR="00BE18C2" w:rsidRPr="00436944" w:rsidRDefault="00BE18C2" w:rsidP="00341F0C">
            <w:pPr>
              <w:spacing w:after="0" w:line="240" w:lineRule="auto"/>
              <w:jc w:val="both"/>
            </w:pPr>
            <w:r w:rsidRPr="00436944">
              <w:t>Instytucja Pośrednicząca Aglomeracji Wałbrzyskiej</w:t>
            </w:r>
          </w:p>
          <w:p w:rsidR="00BE18C2" w:rsidRPr="00436944" w:rsidRDefault="00BE18C2" w:rsidP="00341F0C">
            <w:pPr>
              <w:spacing w:after="0" w:line="240" w:lineRule="auto"/>
              <w:jc w:val="both"/>
            </w:pPr>
            <w:r w:rsidRPr="00436944">
              <w:t>Ul. J. Słowackiego 23A</w:t>
            </w:r>
          </w:p>
          <w:p w:rsidR="00BE18C2" w:rsidRPr="00436944" w:rsidRDefault="00BE18C2" w:rsidP="00341F0C">
            <w:pPr>
              <w:spacing w:after="0" w:line="240" w:lineRule="auto"/>
              <w:jc w:val="both"/>
            </w:pPr>
            <w:r w:rsidRPr="00436944">
              <w:t>58-300 Wałbrzych</w:t>
            </w:r>
          </w:p>
          <w:p w:rsidR="00BE18C2" w:rsidRPr="00436944" w:rsidRDefault="00BE18C2" w:rsidP="00341F0C">
            <w:pPr>
              <w:spacing w:after="0" w:line="240" w:lineRule="auto"/>
              <w:jc w:val="both"/>
            </w:pPr>
            <w:r w:rsidRPr="00436944">
              <w:t>II piętro, pokój nr 203</w:t>
            </w:r>
          </w:p>
          <w:p w:rsidR="00BE18C2" w:rsidRPr="00436944" w:rsidRDefault="00BE18C2" w:rsidP="00341F0C">
            <w:pPr>
              <w:spacing w:after="0" w:line="240" w:lineRule="auto"/>
              <w:jc w:val="both"/>
            </w:pPr>
            <w:r w:rsidRPr="00436944">
              <w:t xml:space="preserve">b) za pośrednictwem polskiego operatora pocztowego wyznaczonego,  w rozumieniu ustawy z dnia 23 listopada 2012 r. - Prawo pocztowe, na adres:  </w:t>
            </w:r>
          </w:p>
          <w:p w:rsidR="00BE18C2" w:rsidRPr="00436944" w:rsidRDefault="00BE18C2" w:rsidP="00341F0C">
            <w:pPr>
              <w:spacing w:after="0" w:line="240" w:lineRule="auto"/>
              <w:jc w:val="both"/>
            </w:pPr>
            <w:r w:rsidRPr="00436944">
              <w:t>Instytucja Pośrednicząca Aglomeracji Wałbrzyskiej</w:t>
            </w:r>
          </w:p>
          <w:p w:rsidR="00BE18C2" w:rsidRPr="00436944" w:rsidRDefault="00BE18C2" w:rsidP="00341F0C">
            <w:pPr>
              <w:spacing w:after="0" w:line="240" w:lineRule="auto"/>
              <w:jc w:val="both"/>
            </w:pPr>
            <w:r w:rsidRPr="00436944">
              <w:t>Ul. J. Słowackiego 23A</w:t>
            </w:r>
          </w:p>
          <w:p w:rsidR="00BE18C2" w:rsidRPr="00436944" w:rsidRDefault="00BE18C2" w:rsidP="00341F0C">
            <w:pPr>
              <w:spacing w:after="0" w:line="240" w:lineRule="auto"/>
              <w:jc w:val="both"/>
            </w:pPr>
            <w:r w:rsidRPr="00436944">
              <w:t>58-300 Wałbrzych</w:t>
            </w:r>
          </w:p>
          <w:p w:rsidR="00EE1BBF" w:rsidRPr="00436944" w:rsidRDefault="00EE1BBF" w:rsidP="00341F0C">
            <w:pPr>
              <w:spacing w:line="240" w:lineRule="auto"/>
              <w:jc w:val="both"/>
            </w:pPr>
          </w:p>
          <w:p w:rsidR="00BE18C2" w:rsidRPr="00436944" w:rsidRDefault="00BE18C2" w:rsidP="00341F0C">
            <w:pPr>
              <w:spacing w:line="240" w:lineRule="auto"/>
              <w:jc w:val="both"/>
            </w:pPr>
            <w:r w:rsidRPr="00436944">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p>
          <w:p w:rsidR="00BE18C2" w:rsidRPr="00436944" w:rsidRDefault="00BE18C2" w:rsidP="00341F0C">
            <w:pPr>
              <w:spacing w:after="112" w:line="240" w:lineRule="auto"/>
              <w:jc w:val="both"/>
            </w:pPr>
            <w:r w:rsidRPr="00436944">
              <w:t xml:space="preserve">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BE18C2" w:rsidRPr="00436944" w:rsidRDefault="00BE18C2" w:rsidP="00341F0C">
            <w:pPr>
              <w:spacing w:after="112" w:line="240" w:lineRule="auto"/>
              <w:jc w:val="both"/>
            </w:pPr>
            <w:r w:rsidRPr="00436944">
              <w:t xml:space="preserve">Suma kontrolna wersji elektronicznej wniosku (w systemie) musi być identyczna z sumą kontrolną papierowej wersji wniosku. </w:t>
            </w:r>
          </w:p>
          <w:p w:rsidR="00BE18C2" w:rsidRPr="00436944" w:rsidRDefault="00BE18C2" w:rsidP="00341F0C">
            <w:pPr>
              <w:spacing w:after="112" w:line="240" w:lineRule="auto"/>
              <w:jc w:val="both"/>
            </w:pPr>
            <w:r w:rsidRPr="00436944">
              <w:t xml:space="preserve">Wniosek wraz z załącznikami (jeśli dotyczy) powinien być trwale spięty w kompletny dokument. Wniosek należy umieścić w segregatorze. Grzbiet segregatora powinien być opisany w następujący sposób:  </w:t>
            </w:r>
          </w:p>
          <w:p w:rsidR="00BE18C2" w:rsidRPr="00436944" w:rsidRDefault="00BE18C2" w:rsidP="00341F0C">
            <w:pPr>
              <w:numPr>
                <w:ilvl w:val="0"/>
                <w:numId w:val="15"/>
              </w:numPr>
              <w:spacing w:after="0" w:line="240" w:lineRule="auto"/>
              <w:ind w:left="0"/>
              <w:jc w:val="both"/>
            </w:pPr>
            <w:r w:rsidRPr="00436944">
              <w:rPr>
                <w:b/>
              </w:rPr>
              <w:t xml:space="preserve">Pełna nazwa Wnioskodawcy wraz z adresem </w:t>
            </w:r>
          </w:p>
          <w:p w:rsidR="00BE18C2" w:rsidRPr="00436944" w:rsidRDefault="00BE18C2" w:rsidP="00341F0C">
            <w:pPr>
              <w:numPr>
                <w:ilvl w:val="0"/>
                <w:numId w:val="15"/>
              </w:numPr>
              <w:spacing w:after="0" w:line="240" w:lineRule="auto"/>
              <w:ind w:left="0"/>
              <w:jc w:val="both"/>
            </w:pPr>
            <w:r w:rsidRPr="00436944">
              <w:rPr>
                <w:b/>
              </w:rPr>
              <w:t xml:space="preserve">Wniosek o dofinansowanie projektu w ramach naboru nr ………….. </w:t>
            </w:r>
          </w:p>
          <w:p w:rsidR="00BE18C2" w:rsidRPr="00436944" w:rsidRDefault="00BE18C2" w:rsidP="00341F0C">
            <w:pPr>
              <w:numPr>
                <w:ilvl w:val="0"/>
                <w:numId w:val="15"/>
              </w:numPr>
              <w:spacing w:after="0" w:line="240" w:lineRule="auto"/>
              <w:ind w:left="0"/>
              <w:jc w:val="both"/>
            </w:pPr>
            <w:r w:rsidRPr="00436944">
              <w:rPr>
                <w:b/>
              </w:rPr>
              <w:t xml:space="preserve">Tytuł projektu </w:t>
            </w:r>
          </w:p>
          <w:p w:rsidR="00BE18C2" w:rsidRPr="00436944" w:rsidRDefault="00BE18C2" w:rsidP="00341F0C">
            <w:pPr>
              <w:numPr>
                <w:ilvl w:val="0"/>
                <w:numId w:val="15"/>
              </w:numPr>
              <w:spacing w:after="0" w:line="240" w:lineRule="auto"/>
              <w:ind w:left="0"/>
              <w:jc w:val="both"/>
            </w:pPr>
            <w:r w:rsidRPr="00436944">
              <w:rPr>
                <w:b/>
              </w:rPr>
              <w:t xml:space="preserve">Numer wniosku o dofinansowanie </w:t>
            </w:r>
          </w:p>
          <w:p w:rsidR="00BE18C2" w:rsidRPr="00436944" w:rsidRDefault="00BE18C2" w:rsidP="00341F0C">
            <w:pPr>
              <w:spacing w:after="112" w:line="240" w:lineRule="auto"/>
              <w:jc w:val="both"/>
            </w:pPr>
            <w:r w:rsidRPr="00436944">
              <w:t xml:space="preserve">Wraz z wnioskiem należy dostarczyć pismo przewodnie, na którym zostanie potwierdzony wpływ wniosku do IOK. Pismo to powinno zawierać te same informacje, które znajdują się na grzbiecie segregatora.  </w:t>
            </w:r>
          </w:p>
          <w:p w:rsidR="00BE18C2" w:rsidRPr="00436944" w:rsidRDefault="00BE18C2" w:rsidP="00341F0C">
            <w:pPr>
              <w:spacing w:after="114" w:line="240" w:lineRule="auto"/>
              <w:jc w:val="both"/>
            </w:pPr>
            <w:r w:rsidRPr="00436944">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rsidR="00BE18C2" w:rsidRPr="00436944" w:rsidRDefault="00BE18C2" w:rsidP="00341F0C">
            <w:pPr>
              <w:spacing w:after="112" w:line="240" w:lineRule="auto"/>
              <w:jc w:val="both"/>
            </w:pPr>
            <w:r w:rsidRPr="00436944">
              <w:t xml:space="preserve">W przypadku złożenia wniosku o dofinansowanie projektu po terminie wskazanym w ogłoszeniu o konkursie wniosek pozostawia się bez rozpatrzenia. </w:t>
            </w:r>
          </w:p>
          <w:p w:rsidR="00BE18C2" w:rsidRPr="00436944" w:rsidRDefault="00BE18C2" w:rsidP="00341F0C">
            <w:pPr>
              <w:spacing w:line="240" w:lineRule="auto"/>
              <w:jc w:val="both"/>
            </w:pPr>
            <w:r w:rsidRPr="00436944">
              <w:t xml:space="preserve">Oświadczenia oraz dane zawarte we wniosku o dofinansowanie projektu są składane pod rygorem odpowiedzialności karnej za składanie fałszywych zeznań, z wyłączeniem oświadczenia o którym mowa w Art. 41 ust. 2 pkt 7c.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  </w:t>
            </w:r>
          </w:p>
          <w:p w:rsidR="00BE18C2" w:rsidRPr="00436944" w:rsidRDefault="00BE18C2" w:rsidP="00341F0C">
            <w:pPr>
              <w:spacing w:after="112" w:line="240" w:lineRule="auto"/>
              <w:jc w:val="both"/>
            </w:pPr>
            <w:r w:rsidRPr="00436944">
              <w:t xml:space="preserve">Wnioskodawca ma możliwość wycofania wniosku o dofinansowanie podczas trwania konkursu oraz na każdym etapie jego oceny. Należy wówczas dostarczyć do IOK pismo z prośbą o wycofanie wniosku podpisane przez osobę uprawnioną do podejmowania decyzji w imieniu wnioskodawcy. </w:t>
            </w:r>
          </w:p>
          <w:p w:rsidR="00BE18C2" w:rsidRPr="00436944" w:rsidRDefault="00BE18C2" w:rsidP="00341F0C">
            <w:pPr>
              <w:spacing w:after="112" w:line="240" w:lineRule="auto"/>
              <w:jc w:val="both"/>
            </w:pPr>
            <w:r w:rsidRPr="00436944">
              <w:t xml:space="preserve">IPAW zastrzega sobie możliwość zmiany terminu składania wniosków lub złożenia ich w innej formie niż wyżej opisana. Decyzja w powyższej kwestii zostanie przedstawiona w formie komunikatu we wszystkich miejscach, gdzie opublikowano ogłoszenie. </w:t>
            </w:r>
          </w:p>
          <w:p w:rsidR="00BE18C2" w:rsidRPr="00436944" w:rsidRDefault="00BE18C2" w:rsidP="00341F0C">
            <w:pPr>
              <w:spacing w:after="324" w:line="240" w:lineRule="auto"/>
              <w:jc w:val="both"/>
            </w:pPr>
            <w:r w:rsidRPr="00436944">
              <w:t xml:space="preserve">IPAW nie przewiduje możliwości skrócenia terminu składania wniosków. </w:t>
            </w:r>
          </w:p>
          <w:p w:rsidR="00BE28F5" w:rsidRPr="00436944" w:rsidRDefault="00BE18C2" w:rsidP="00341F0C">
            <w:pPr>
              <w:spacing w:after="268" w:line="240" w:lineRule="auto"/>
              <w:jc w:val="both"/>
            </w:pPr>
            <w:r w:rsidRPr="00436944">
              <w:t xml:space="preserve">Forma składania wniosków określona w tym pkt Regulaminu obowiązuje także przy składaniu każdej poprawionej wersji wniosku o dofinansowanie. </w:t>
            </w:r>
          </w:p>
        </w:tc>
      </w:tr>
      <w:tr w:rsidR="007C46DB" w:rsidRPr="00436944" w:rsidTr="006D7C1A">
        <w:tc>
          <w:tcPr>
            <w:tcW w:w="534" w:type="dxa"/>
          </w:tcPr>
          <w:p w:rsidR="007C46DB" w:rsidRPr="00436944" w:rsidRDefault="007C46DB" w:rsidP="00341F0C">
            <w:pPr>
              <w:autoSpaceDE w:val="0"/>
              <w:autoSpaceDN w:val="0"/>
              <w:adjustRightInd w:val="0"/>
              <w:spacing w:after="0" w:line="240" w:lineRule="auto"/>
              <w:jc w:val="both"/>
              <w:rPr>
                <w:rFonts w:cs="Calibri"/>
                <w:b/>
                <w:bCs/>
              </w:rPr>
            </w:pPr>
            <w:r w:rsidRPr="00436944">
              <w:rPr>
                <w:rFonts w:cs="Calibri"/>
                <w:b/>
                <w:bCs/>
              </w:rPr>
              <w:t>11.</w:t>
            </w:r>
          </w:p>
        </w:tc>
        <w:tc>
          <w:tcPr>
            <w:tcW w:w="2268" w:type="dxa"/>
          </w:tcPr>
          <w:p w:rsidR="007C46DB" w:rsidRPr="00436944" w:rsidRDefault="007C46DB" w:rsidP="00341F0C">
            <w:pPr>
              <w:pStyle w:val="Default"/>
              <w:jc w:val="both"/>
              <w:rPr>
                <w:rFonts w:asciiTheme="minorHAnsi" w:hAnsiTheme="minorHAnsi"/>
                <w:b/>
                <w:bCs/>
                <w:color w:val="auto"/>
                <w:sz w:val="22"/>
                <w:szCs w:val="22"/>
              </w:rPr>
            </w:pPr>
            <w:r w:rsidRPr="00436944">
              <w:rPr>
                <w:rFonts w:asciiTheme="minorHAnsi" w:hAnsiTheme="minorHAnsi"/>
                <w:b/>
                <w:bCs/>
                <w:color w:val="auto"/>
                <w:sz w:val="22"/>
                <w:szCs w:val="22"/>
              </w:rPr>
              <w:t>Sposób i miejsce udostępnienia regulaminu:</w:t>
            </w:r>
          </w:p>
        </w:tc>
        <w:tc>
          <w:tcPr>
            <w:tcW w:w="7494" w:type="dxa"/>
          </w:tcPr>
          <w:p w:rsidR="007C46DB" w:rsidRPr="00436944" w:rsidRDefault="007C46DB" w:rsidP="00341F0C">
            <w:pPr>
              <w:tabs>
                <w:tab w:val="left" w:pos="284"/>
              </w:tabs>
              <w:autoSpaceDE w:val="0"/>
              <w:spacing w:after="0"/>
              <w:jc w:val="both"/>
              <w:rPr>
                <w:rFonts w:cs="Calibri"/>
              </w:rPr>
            </w:pPr>
            <w:r w:rsidRPr="00436944">
              <w:rPr>
                <w:rFonts w:cs="Calibri"/>
              </w:rPr>
              <w:t>Wszystkie kwestie dotyczące naboru opisane zostały w Regulaminie, który dostępny jest wraz z załącznikami na stronie internetowej</w:t>
            </w:r>
            <w:r w:rsidR="00DD39F8" w:rsidRPr="00436944">
              <w:rPr>
                <w:rFonts w:cs="Calibri"/>
              </w:rPr>
              <w:t xml:space="preserve"> </w:t>
            </w:r>
            <w:hyperlink r:id="rId18">
              <w:r w:rsidR="00DD39F8" w:rsidRPr="00436944">
                <w:rPr>
                  <w:u w:val="single" w:color="0000FF"/>
                </w:rPr>
                <w:t>www.ipaw.walbrzych.eu</w:t>
              </w:r>
            </w:hyperlink>
            <w:r w:rsidR="00DD39F8" w:rsidRPr="00436944">
              <w:rPr>
                <w:u w:val="single" w:color="0000FF"/>
              </w:rPr>
              <w:t xml:space="preserve"> </w:t>
            </w:r>
            <w:r w:rsidRPr="00436944">
              <w:rPr>
                <w:rFonts w:cs="Calibri"/>
              </w:rPr>
              <w:t>oraz na portalu Funduszy Europejskich (</w:t>
            </w:r>
            <w:hyperlink r:id="rId19" w:history="1">
              <w:r w:rsidRPr="00436944">
                <w:rPr>
                  <w:rStyle w:val="Hipercze"/>
                  <w:rFonts w:cs="Calibri"/>
                  <w:color w:val="auto"/>
                </w:rPr>
                <w:t>www.funduszeeuropejskie.gov.pl</w:t>
              </w:r>
            </w:hyperlink>
            <w:r w:rsidRPr="00436944">
              <w:rPr>
                <w:rFonts w:cs="Calibri"/>
              </w:rPr>
              <w:t>)</w:t>
            </w:r>
            <w:r w:rsidR="00F6688E" w:rsidRPr="00436944">
              <w:t>.</w:t>
            </w:r>
            <w:hyperlink r:id="rId20" w:history="1"/>
          </w:p>
        </w:tc>
      </w:tr>
    </w:tbl>
    <w:p w:rsidR="00F259B1" w:rsidRPr="00436944" w:rsidRDefault="00F259B1" w:rsidP="00341F0C">
      <w:pPr>
        <w:tabs>
          <w:tab w:val="left" w:pos="1965"/>
        </w:tabs>
        <w:spacing w:line="240" w:lineRule="auto"/>
        <w:jc w:val="both"/>
      </w:pPr>
    </w:p>
    <w:sectPr w:rsidR="00F259B1" w:rsidRPr="00436944" w:rsidSect="007B7525">
      <w:footerReference w:type="default" r:id="rId2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E9" w:rsidRDefault="009930E9" w:rsidP="00E873C4">
      <w:pPr>
        <w:spacing w:after="0" w:line="240" w:lineRule="auto"/>
      </w:pPr>
      <w:r>
        <w:separator/>
      </w:r>
    </w:p>
  </w:endnote>
  <w:endnote w:type="continuationSeparator" w:id="0">
    <w:p w:rsidR="009930E9" w:rsidRDefault="009930E9"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45478"/>
      <w:docPartObj>
        <w:docPartGallery w:val="Page Numbers (Bottom of Page)"/>
        <w:docPartUnique/>
      </w:docPartObj>
    </w:sdtPr>
    <w:sdtEndPr/>
    <w:sdtContent>
      <w:p w:rsidR="00890C4C" w:rsidRDefault="00305254">
        <w:pPr>
          <w:pStyle w:val="Stopka"/>
          <w:jc w:val="right"/>
        </w:pPr>
        <w:r>
          <w:fldChar w:fldCharType="begin"/>
        </w:r>
        <w:r w:rsidR="00D34BB5">
          <w:instrText xml:space="preserve"> PAGE   \* MERGEFORMAT </w:instrText>
        </w:r>
        <w:r>
          <w:fldChar w:fldCharType="separate"/>
        </w:r>
        <w:r w:rsidR="00EF09E7">
          <w:rPr>
            <w:noProof/>
          </w:rPr>
          <w:t>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E9" w:rsidRDefault="009930E9" w:rsidP="00E873C4">
      <w:pPr>
        <w:spacing w:after="0" w:line="240" w:lineRule="auto"/>
      </w:pPr>
      <w:r>
        <w:separator/>
      </w:r>
    </w:p>
  </w:footnote>
  <w:footnote w:type="continuationSeparator" w:id="0">
    <w:p w:rsidR="009930E9" w:rsidRDefault="009930E9" w:rsidP="00E873C4">
      <w:pPr>
        <w:spacing w:after="0" w:line="240" w:lineRule="auto"/>
      </w:pPr>
      <w:r>
        <w:continuationSeparator/>
      </w:r>
    </w:p>
  </w:footnote>
  <w:footnote w:id="1">
    <w:p w:rsidR="008C3104" w:rsidRPr="006B1BED" w:rsidRDefault="008C3104" w:rsidP="008C3104">
      <w:pPr>
        <w:pStyle w:val="Tekstprzypisudolnego"/>
        <w:jc w:val="both"/>
        <w:rPr>
          <w:rFonts w:asciiTheme="minorHAnsi" w:hAnsiTheme="minorHAnsi"/>
          <w:sz w:val="18"/>
          <w:szCs w:val="18"/>
        </w:rPr>
      </w:pPr>
      <w:r w:rsidRPr="000A5E94">
        <w:rPr>
          <w:rStyle w:val="Znakiprzypiswdolnych"/>
          <w:sz w:val="16"/>
          <w:szCs w:val="16"/>
          <w:vertAlign w:val="superscript"/>
        </w:rPr>
        <w:footnoteRef/>
      </w:r>
      <w:r w:rsidRPr="000A5E94">
        <w:rPr>
          <w:sz w:val="16"/>
          <w:szCs w:val="16"/>
        </w:rPr>
        <w:t xml:space="preserve"> </w:t>
      </w:r>
      <w:r w:rsidRPr="006B1BED">
        <w:rPr>
          <w:rFonts w:asciiTheme="minorHAnsi" w:hAnsiTheme="minorHAnsi"/>
          <w:sz w:val="18"/>
          <w:szCs w:val="18"/>
        </w:rPr>
        <w:t>określonych w środkach wykonawczych do dyrektywy 2009/125/WE  z dnia 21 października 2009 r. ustanawiającej ogólne zasady ustalania wymogów dotyczących ekoprojektu dla produktów związanych z energią.</w:t>
      </w:r>
    </w:p>
  </w:footnote>
  <w:footnote w:id="2">
    <w:p w:rsidR="008C3104" w:rsidRPr="006B1BED" w:rsidRDefault="008C3104" w:rsidP="008C3104">
      <w:pPr>
        <w:pStyle w:val="Tekstprzypisudolnego"/>
        <w:jc w:val="both"/>
        <w:rPr>
          <w:rFonts w:asciiTheme="minorHAnsi" w:hAnsiTheme="minorHAnsi"/>
          <w:sz w:val="18"/>
          <w:szCs w:val="18"/>
        </w:rPr>
      </w:pPr>
      <w:r w:rsidRPr="006B1BED">
        <w:rPr>
          <w:rStyle w:val="Znakiprzypiswdolnych"/>
          <w:rFonts w:asciiTheme="minorHAnsi" w:hAnsiTheme="minorHAnsi"/>
          <w:sz w:val="18"/>
          <w:szCs w:val="18"/>
          <w:vertAlign w:val="superscript"/>
        </w:rPr>
        <w:footnoteRef/>
      </w:r>
      <w:r w:rsidRPr="006B1BED">
        <w:rPr>
          <w:rFonts w:asciiTheme="minorHAnsi" w:hAnsiTheme="minorHAnsi"/>
          <w:sz w:val="18"/>
          <w:szCs w:val="18"/>
        </w:rPr>
        <w:t xml:space="preserve"> według normy PN-EN 303-5:2012</w:t>
      </w:r>
    </w:p>
  </w:footnote>
  <w:footnote w:id="3">
    <w:p w:rsidR="008C3104" w:rsidRPr="00750368" w:rsidRDefault="008C3104" w:rsidP="008C3104">
      <w:pPr>
        <w:pStyle w:val="Tekstprzypisudolnego"/>
        <w:rPr>
          <w:rFonts w:asciiTheme="minorHAnsi" w:hAnsiTheme="minorHAnsi"/>
          <w:sz w:val="18"/>
          <w:szCs w:val="18"/>
        </w:rPr>
      </w:pPr>
      <w:r w:rsidRPr="00750368">
        <w:rPr>
          <w:rStyle w:val="Odwoanieprzypisudolnego"/>
          <w:rFonts w:asciiTheme="minorHAnsi" w:hAnsiTheme="minorHAnsi"/>
          <w:sz w:val="18"/>
          <w:szCs w:val="18"/>
        </w:rPr>
        <w:footnoteRef/>
      </w:r>
      <w:r w:rsidRPr="00750368">
        <w:rPr>
          <w:rFonts w:asciiTheme="minorHAnsi" w:hAnsiTheme="minorHAnsi"/>
          <w:sz w:val="18"/>
          <w:szCs w:val="18"/>
        </w:rPr>
        <w:t xml:space="preserve"> w rozumieniu ustawy</w:t>
      </w:r>
      <w:r w:rsidRPr="00750368">
        <w:rPr>
          <w:rFonts w:asciiTheme="minorHAnsi" w:hAnsiTheme="minorHAnsi"/>
          <w:b/>
          <w:sz w:val="18"/>
          <w:szCs w:val="18"/>
        </w:rPr>
        <w:t xml:space="preserve"> </w:t>
      </w:r>
      <w:r w:rsidRPr="00750368">
        <w:rPr>
          <w:rFonts w:asciiTheme="minorHAnsi" w:hAnsiTheme="minorHAnsi"/>
          <w:sz w:val="18"/>
          <w:szCs w:val="18"/>
        </w:rPr>
        <w:t>o odnawialnych źródłach energii</w:t>
      </w:r>
    </w:p>
  </w:footnote>
  <w:footnote w:id="4">
    <w:p w:rsidR="008C3104" w:rsidRDefault="008C3104" w:rsidP="008C3104">
      <w:pPr>
        <w:pStyle w:val="Tekstprzypisudolnego"/>
      </w:pPr>
      <w:r w:rsidRPr="00750368">
        <w:rPr>
          <w:rStyle w:val="Odwoanieprzypisudolnego"/>
          <w:rFonts w:asciiTheme="minorHAnsi" w:hAnsiTheme="minorHAnsi"/>
          <w:sz w:val="18"/>
          <w:szCs w:val="18"/>
        </w:rPr>
        <w:footnoteRef/>
      </w:r>
      <w:r w:rsidRPr="00750368">
        <w:rPr>
          <w:rFonts w:asciiTheme="minorHAnsi" w:hAnsiTheme="minorHAnsi"/>
          <w:sz w:val="18"/>
          <w:szCs w:val="18"/>
        </w:rPr>
        <w:t xml:space="preserve"> w rozumieniu ustawy o odnawialnych źródłach energii</w:t>
      </w:r>
    </w:p>
  </w:footnote>
  <w:footnote w:id="5">
    <w:p w:rsidR="009A2A34" w:rsidRDefault="009A2A34" w:rsidP="009A2A34">
      <w:pPr>
        <w:pStyle w:val="Tekstprzypisudolnego"/>
        <w:jc w:val="both"/>
      </w:pPr>
      <w:r>
        <w:rPr>
          <w:rStyle w:val="Odwoanieprzypisudolnego"/>
        </w:rPr>
        <w:footnoteRef/>
      </w:r>
      <w:r>
        <w:t xml:space="preserve"> </w:t>
      </w:r>
      <w:r w:rsidRPr="001874B2">
        <w:rPr>
          <w:rFonts w:asciiTheme="minorHAnsi" w:hAnsiTheme="minorHAnsi"/>
        </w:rPr>
        <w:t>Do identyfikacji podmiotu publicznego należy stosować definicję zapisaną w ustawie z dnia 19 grudnia 2008 r. o partnerstwie publiczno-prywatnym.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2D8"/>
    <w:multiLevelType w:val="hybridMultilevel"/>
    <w:tmpl w:val="093EF01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5F1BFF"/>
    <w:multiLevelType w:val="hybridMultilevel"/>
    <w:tmpl w:val="11426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4"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5" w15:restartNumberingAfterBreak="0">
    <w:nsid w:val="2ABB75FA"/>
    <w:multiLevelType w:val="hybridMultilevel"/>
    <w:tmpl w:val="8D90735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6" w15:restartNumberingAfterBreak="0">
    <w:nsid w:val="36DE16C7"/>
    <w:multiLevelType w:val="hybridMultilevel"/>
    <w:tmpl w:val="36F245E2"/>
    <w:lvl w:ilvl="0" w:tplc="D0C4AEA4">
      <w:start w:val="1"/>
      <w:numFmt w:val="lowerLetter"/>
      <w:lvlText w:val="%1)"/>
      <w:lvlJc w:val="left"/>
      <w:pPr>
        <w:ind w:left="427" w:hanging="360"/>
      </w:pPr>
      <w:rPr>
        <w:rFonts w:hint="default"/>
        <w:b w:val="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0076FCD"/>
    <w:multiLevelType w:val="hybridMultilevel"/>
    <w:tmpl w:val="A3E2B9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421CDA"/>
    <w:multiLevelType w:val="hybridMultilevel"/>
    <w:tmpl w:val="F8E4E15E"/>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5885E5D"/>
    <w:multiLevelType w:val="hybridMultilevel"/>
    <w:tmpl w:val="B7E2E298"/>
    <w:lvl w:ilvl="0" w:tplc="F3E07866">
      <w:start w:val="1"/>
      <w:numFmt w:val="bullet"/>
      <w:lvlText w:val="–"/>
      <w:lvlJc w:val="left"/>
      <w:pPr>
        <w:ind w:left="360" w:hanging="360"/>
      </w:pPr>
      <w:rPr>
        <w:rFonts w:ascii="Calibri" w:hAnsi="Calibri"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BE90DE8"/>
    <w:multiLevelType w:val="hybridMultilevel"/>
    <w:tmpl w:val="4FFCF24C"/>
    <w:lvl w:ilvl="0" w:tplc="E5F6B9CA">
      <w:start w:val="1"/>
      <w:numFmt w:val="bullet"/>
      <w:lvlText w:val="-"/>
      <w:lvlJc w:val="left"/>
      <w:pPr>
        <w:ind w:left="1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921BDA">
      <w:start w:val="1"/>
      <w:numFmt w:val="bullet"/>
      <w:lvlText w:val="o"/>
      <w:lvlJc w:val="left"/>
      <w:pPr>
        <w:ind w:left="24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94A38B8">
      <w:start w:val="1"/>
      <w:numFmt w:val="bullet"/>
      <w:lvlText w:val="▪"/>
      <w:lvlJc w:val="left"/>
      <w:pPr>
        <w:ind w:left="32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5AAF3E">
      <w:start w:val="1"/>
      <w:numFmt w:val="bullet"/>
      <w:lvlText w:val="•"/>
      <w:lvlJc w:val="left"/>
      <w:pPr>
        <w:ind w:left="39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1A4B82">
      <w:start w:val="1"/>
      <w:numFmt w:val="bullet"/>
      <w:lvlText w:val="o"/>
      <w:lvlJc w:val="left"/>
      <w:pPr>
        <w:ind w:left="46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2C1556">
      <w:start w:val="1"/>
      <w:numFmt w:val="bullet"/>
      <w:lvlText w:val="▪"/>
      <w:lvlJc w:val="left"/>
      <w:pPr>
        <w:ind w:left="53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0408B52">
      <w:start w:val="1"/>
      <w:numFmt w:val="bullet"/>
      <w:lvlText w:val="•"/>
      <w:lvlJc w:val="left"/>
      <w:pPr>
        <w:ind w:left="6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2BC1F4C">
      <w:start w:val="1"/>
      <w:numFmt w:val="bullet"/>
      <w:lvlText w:val="o"/>
      <w:lvlJc w:val="left"/>
      <w:pPr>
        <w:ind w:left="6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B54D882">
      <w:start w:val="1"/>
      <w:numFmt w:val="bullet"/>
      <w:lvlText w:val="▪"/>
      <w:lvlJc w:val="left"/>
      <w:pPr>
        <w:ind w:left="7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710653F9"/>
    <w:multiLevelType w:val="hybridMultilevel"/>
    <w:tmpl w:val="F22C480E"/>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AB4AC60C">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B356BBE"/>
    <w:multiLevelType w:val="hybridMultilevel"/>
    <w:tmpl w:val="457AEF76"/>
    <w:lvl w:ilvl="0" w:tplc="F3E07866">
      <w:start w:val="1"/>
      <w:numFmt w:val="bullet"/>
      <w:lvlText w:val="–"/>
      <w:lvlJc w:val="left"/>
      <w:pPr>
        <w:ind w:left="-1422" w:hanging="360"/>
      </w:pPr>
      <w:rPr>
        <w:rFonts w:ascii="Calibri" w:hAnsi="Calibri" w:hint="default"/>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23"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abstractNum w:abstractNumId="24" w15:restartNumberingAfterBreak="0">
    <w:nsid w:val="7DA860A4"/>
    <w:multiLevelType w:val="hybridMultilevel"/>
    <w:tmpl w:val="57946338"/>
    <w:lvl w:ilvl="0" w:tplc="3E8E60F8">
      <w:start w:val="1"/>
      <w:numFmt w:val="bullet"/>
      <w:lvlText w:val="•"/>
      <w:lvlJc w:val="left"/>
      <w:pPr>
        <w:ind w:left="787" w:hanging="360"/>
      </w:pPr>
      <w:rPr>
        <w:rFonts w:ascii="Calibri" w:hAnsi="Calibri"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1"/>
  </w:num>
  <w:num w:numId="2">
    <w:abstractNumId w:val="22"/>
  </w:num>
  <w:num w:numId="3">
    <w:abstractNumId w:val="16"/>
  </w:num>
  <w:num w:numId="4">
    <w:abstractNumId w:val="11"/>
  </w:num>
  <w:num w:numId="5">
    <w:abstractNumId w:val="17"/>
  </w:num>
  <w:num w:numId="6">
    <w:abstractNumId w:val="6"/>
  </w:num>
  <w:num w:numId="7">
    <w:abstractNumId w:val="0"/>
  </w:num>
  <w:num w:numId="8">
    <w:abstractNumId w:val="15"/>
  </w:num>
  <w:num w:numId="9">
    <w:abstractNumId w:val="10"/>
  </w:num>
  <w:num w:numId="10">
    <w:abstractNumId w:val="24"/>
  </w:num>
  <w:num w:numId="11">
    <w:abstractNumId w:val="12"/>
  </w:num>
  <w:num w:numId="12">
    <w:abstractNumId w:val="20"/>
  </w:num>
  <w:num w:numId="13">
    <w:abstractNumId w:val="13"/>
  </w:num>
  <w:num w:numId="14">
    <w:abstractNumId w:val="7"/>
  </w:num>
  <w:num w:numId="15">
    <w:abstractNumId w:val="19"/>
  </w:num>
  <w:num w:numId="16">
    <w:abstractNumId w:val="14"/>
  </w:num>
  <w:num w:numId="17">
    <w:abstractNumId w:val="2"/>
  </w:num>
  <w:num w:numId="18">
    <w:abstractNumId w:val="9"/>
  </w:num>
  <w:num w:numId="19">
    <w:abstractNumId w:val="18"/>
  </w:num>
  <w:num w:numId="20">
    <w:abstractNumId w:val="4"/>
  </w:num>
  <w:num w:numId="21">
    <w:abstractNumId w:val="23"/>
  </w:num>
  <w:num w:numId="22">
    <w:abstractNumId w:val="21"/>
  </w:num>
  <w:num w:numId="23">
    <w:abstractNumId w:val="8"/>
  </w:num>
  <w:num w:numId="24">
    <w:abstractNumId w:val="3"/>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4EE2"/>
    <w:rsid w:val="00040467"/>
    <w:rsid w:val="0004133F"/>
    <w:rsid w:val="00051A6D"/>
    <w:rsid w:val="00051E3F"/>
    <w:rsid w:val="00053BC4"/>
    <w:rsid w:val="000552B0"/>
    <w:rsid w:val="0006765F"/>
    <w:rsid w:val="00067A0F"/>
    <w:rsid w:val="000763EC"/>
    <w:rsid w:val="00077561"/>
    <w:rsid w:val="000819AB"/>
    <w:rsid w:val="00083567"/>
    <w:rsid w:val="000A59C8"/>
    <w:rsid w:val="000A5A8B"/>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10149"/>
    <w:rsid w:val="00110E7E"/>
    <w:rsid w:val="00124CCA"/>
    <w:rsid w:val="00125367"/>
    <w:rsid w:val="001253D8"/>
    <w:rsid w:val="00130AA7"/>
    <w:rsid w:val="00132DD2"/>
    <w:rsid w:val="001377E8"/>
    <w:rsid w:val="00140C08"/>
    <w:rsid w:val="00141276"/>
    <w:rsid w:val="00141FBD"/>
    <w:rsid w:val="001442E1"/>
    <w:rsid w:val="0014435B"/>
    <w:rsid w:val="0015088A"/>
    <w:rsid w:val="00151119"/>
    <w:rsid w:val="001613A1"/>
    <w:rsid w:val="00163B95"/>
    <w:rsid w:val="00163C1F"/>
    <w:rsid w:val="001741B3"/>
    <w:rsid w:val="00174B77"/>
    <w:rsid w:val="00180B34"/>
    <w:rsid w:val="00182231"/>
    <w:rsid w:val="001847A5"/>
    <w:rsid w:val="001B7E02"/>
    <w:rsid w:val="001D5ADE"/>
    <w:rsid w:val="001E4AE8"/>
    <w:rsid w:val="001E5C34"/>
    <w:rsid w:val="00202177"/>
    <w:rsid w:val="00203AEB"/>
    <w:rsid w:val="00204163"/>
    <w:rsid w:val="002049F3"/>
    <w:rsid w:val="00212041"/>
    <w:rsid w:val="00214423"/>
    <w:rsid w:val="00216D57"/>
    <w:rsid w:val="0022084B"/>
    <w:rsid w:val="002238CA"/>
    <w:rsid w:val="00231404"/>
    <w:rsid w:val="002366CF"/>
    <w:rsid w:val="002368A3"/>
    <w:rsid w:val="0024581C"/>
    <w:rsid w:val="002479B3"/>
    <w:rsid w:val="002533D1"/>
    <w:rsid w:val="00263D0C"/>
    <w:rsid w:val="00265C29"/>
    <w:rsid w:val="002771D8"/>
    <w:rsid w:val="002777A2"/>
    <w:rsid w:val="0028267C"/>
    <w:rsid w:val="00284BCE"/>
    <w:rsid w:val="002872B3"/>
    <w:rsid w:val="00292030"/>
    <w:rsid w:val="002A02F4"/>
    <w:rsid w:val="002A772D"/>
    <w:rsid w:val="002A7A36"/>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591"/>
    <w:rsid w:val="00303BCB"/>
    <w:rsid w:val="00305254"/>
    <w:rsid w:val="00314B94"/>
    <w:rsid w:val="00320901"/>
    <w:rsid w:val="0032333D"/>
    <w:rsid w:val="00331136"/>
    <w:rsid w:val="00331C42"/>
    <w:rsid w:val="00341F0C"/>
    <w:rsid w:val="00343298"/>
    <w:rsid w:val="00344EF4"/>
    <w:rsid w:val="003451EF"/>
    <w:rsid w:val="003569D4"/>
    <w:rsid w:val="00364F8A"/>
    <w:rsid w:val="00372F5E"/>
    <w:rsid w:val="003846E2"/>
    <w:rsid w:val="00386933"/>
    <w:rsid w:val="00387FDF"/>
    <w:rsid w:val="00390D9C"/>
    <w:rsid w:val="00393818"/>
    <w:rsid w:val="003948B3"/>
    <w:rsid w:val="003A0F50"/>
    <w:rsid w:val="003A6136"/>
    <w:rsid w:val="003A650D"/>
    <w:rsid w:val="003B20BC"/>
    <w:rsid w:val="003B4611"/>
    <w:rsid w:val="003B6C9D"/>
    <w:rsid w:val="003D3723"/>
    <w:rsid w:val="003D6EF8"/>
    <w:rsid w:val="003F1BA7"/>
    <w:rsid w:val="003F59D8"/>
    <w:rsid w:val="0040059D"/>
    <w:rsid w:val="00411FC6"/>
    <w:rsid w:val="004123F0"/>
    <w:rsid w:val="00417D17"/>
    <w:rsid w:val="00424DF6"/>
    <w:rsid w:val="004263BE"/>
    <w:rsid w:val="00434AED"/>
    <w:rsid w:val="00434B9B"/>
    <w:rsid w:val="00435B86"/>
    <w:rsid w:val="00436944"/>
    <w:rsid w:val="004567F8"/>
    <w:rsid w:val="00456C95"/>
    <w:rsid w:val="004607F7"/>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C4183"/>
    <w:rsid w:val="004D07A7"/>
    <w:rsid w:val="004D3634"/>
    <w:rsid w:val="004D38E3"/>
    <w:rsid w:val="004D3EF7"/>
    <w:rsid w:val="004D41EF"/>
    <w:rsid w:val="004D6188"/>
    <w:rsid w:val="004E1A59"/>
    <w:rsid w:val="004E2E01"/>
    <w:rsid w:val="004E4D79"/>
    <w:rsid w:val="004F1892"/>
    <w:rsid w:val="004F1BA2"/>
    <w:rsid w:val="004F4D56"/>
    <w:rsid w:val="004F599F"/>
    <w:rsid w:val="004F7ABA"/>
    <w:rsid w:val="005007A3"/>
    <w:rsid w:val="00502178"/>
    <w:rsid w:val="00503D54"/>
    <w:rsid w:val="00512BAE"/>
    <w:rsid w:val="00515370"/>
    <w:rsid w:val="005261AF"/>
    <w:rsid w:val="00530F60"/>
    <w:rsid w:val="00531A59"/>
    <w:rsid w:val="00531AA5"/>
    <w:rsid w:val="00531E91"/>
    <w:rsid w:val="00532690"/>
    <w:rsid w:val="00532F07"/>
    <w:rsid w:val="0053485A"/>
    <w:rsid w:val="00536BF7"/>
    <w:rsid w:val="00540EE1"/>
    <w:rsid w:val="005415B5"/>
    <w:rsid w:val="005477CE"/>
    <w:rsid w:val="00547E40"/>
    <w:rsid w:val="0056015A"/>
    <w:rsid w:val="00565A63"/>
    <w:rsid w:val="00571FD0"/>
    <w:rsid w:val="00574632"/>
    <w:rsid w:val="00575541"/>
    <w:rsid w:val="00585063"/>
    <w:rsid w:val="005A1B2C"/>
    <w:rsid w:val="005A5980"/>
    <w:rsid w:val="005A7DB6"/>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600EB8"/>
    <w:rsid w:val="00604E63"/>
    <w:rsid w:val="00606E1F"/>
    <w:rsid w:val="00626FD4"/>
    <w:rsid w:val="00630D34"/>
    <w:rsid w:val="0063427E"/>
    <w:rsid w:val="00634D48"/>
    <w:rsid w:val="00637BA2"/>
    <w:rsid w:val="006545AC"/>
    <w:rsid w:val="00660BFE"/>
    <w:rsid w:val="00670468"/>
    <w:rsid w:val="00674CF3"/>
    <w:rsid w:val="006754E3"/>
    <w:rsid w:val="006762E1"/>
    <w:rsid w:val="0067677F"/>
    <w:rsid w:val="00683BC9"/>
    <w:rsid w:val="006877AB"/>
    <w:rsid w:val="006913FC"/>
    <w:rsid w:val="006928EA"/>
    <w:rsid w:val="00694719"/>
    <w:rsid w:val="006A1BF0"/>
    <w:rsid w:val="006A7183"/>
    <w:rsid w:val="006B0BAB"/>
    <w:rsid w:val="006B2FE8"/>
    <w:rsid w:val="006B5689"/>
    <w:rsid w:val="006B5A9F"/>
    <w:rsid w:val="006C03F2"/>
    <w:rsid w:val="006C3F4E"/>
    <w:rsid w:val="006D47CC"/>
    <w:rsid w:val="006D7C1A"/>
    <w:rsid w:val="006F69DA"/>
    <w:rsid w:val="00701A7D"/>
    <w:rsid w:val="0071078C"/>
    <w:rsid w:val="00715262"/>
    <w:rsid w:val="00716ADF"/>
    <w:rsid w:val="00723CFF"/>
    <w:rsid w:val="007256A7"/>
    <w:rsid w:val="00727A43"/>
    <w:rsid w:val="00730B1A"/>
    <w:rsid w:val="007312F1"/>
    <w:rsid w:val="00733DB9"/>
    <w:rsid w:val="0074779B"/>
    <w:rsid w:val="007547D7"/>
    <w:rsid w:val="007556F0"/>
    <w:rsid w:val="007564BC"/>
    <w:rsid w:val="00761383"/>
    <w:rsid w:val="007625CF"/>
    <w:rsid w:val="00764B26"/>
    <w:rsid w:val="00764E1A"/>
    <w:rsid w:val="00766179"/>
    <w:rsid w:val="007702C2"/>
    <w:rsid w:val="0078191D"/>
    <w:rsid w:val="00783EA8"/>
    <w:rsid w:val="00791DB1"/>
    <w:rsid w:val="007A06B8"/>
    <w:rsid w:val="007A5A81"/>
    <w:rsid w:val="007B042A"/>
    <w:rsid w:val="007B0A0A"/>
    <w:rsid w:val="007B7525"/>
    <w:rsid w:val="007B7614"/>
    <w:rsid w:val="007C05FA"/>
    <w:rsid w:val="007C46DB"/>
    <w:rsid w:val="007D19B0"/>
    <w:rsid w:val="007D2DA2"/>
    <w:rsid w:val="007D5FE3"/>
    <w:rsid w:val="007D72C5"/>
    <w:rsid w:val="007E0AA1"/>
    <w:rsid w:val="007E21D3"/>
    <w:rsid w:val="007E4E1C"/>
    <w:rsid w:val="007E735C"/>
    <w:rsid w:val="007E7954"/>
    <w:rsid w:val="007F2804"/>
    <w:rsid w:val="007F3D9A"/>
    <w:rsid w:val="007F45E9"/>
    <w:rsid w:val="007F5D95"/>
    <w:rsid w:val="007F7945"/>
    <w:rsid w:val="00800124"/>
    <w:rsid w:val="00805E31"/>
    <w:rsid w:val="0081019B"/>
    <w:rsid w:val="00812121"/>
    <w:rsid w:val="0082750A"/>
    <w:rsid w:val="0083415B"/>
    <w:rsid w:val="008373EE"/>
    <w:rsid w:val="00845B40"/>
    <w:rsid w:val="00850017"/>
    <w:rsid w:val="00857E01"/>
    <w:rsid w:val="008600F3"/>
    <w:rsid w:val="00862A72"/>
    <w:rsid w:val="00863524"/>
    <w:rsid w:val="0086547B"/>
    <w:rsid w:val="0086574D"/>
    <w:rsid w:val="00867A44"/>
    <w:rsid w:val="008837C9"/>
    <w:rsid w:val="00890C4C"/>
    <w:rsid w:val="00891A07"/>
    <w:rsid w:val="0089254A"/>
    <w:rsid w:val="00893BA0"/>
    <w:rsid w:val="008A1508"/>
    <w:rsid w:val="008B0CF1"/>
    <w:rsid w:val="008C3104"/>
    <w:rsid w:val="008C3515"/>
    <w:rsid w:val="008C79E0"/>
    <w:rsid w:val="008E0684"/>
    <w:rsid w:val="008E06E8"/>
    <w:rsid w:val="008E35D3"/>
    <w:rsid w:val="008E5657"/>
    <w:rsid w:val="008F058E"/>
    <w:rsid w:val="008F2DD0"/>
    <w:rsid w:val="008F4AAF"/>
    <w:rsid w:val="008F531C"/>
    <w:rsid w:val="00907747"/>
    <w:rsid w:val="00916F84"/>
    <w:rsid w:val="00921011"/>
    <w:rsid w:val="00924E91"/>
    <w:rsid w:val="0092774A"/>
    <w:rsid w:val="009337A7"/>
    <w:rsid w:val="00936001"/>
    <w:rsid w:val="009367C2"/>
    <w:rsid w:val="00943B1E"/>
    <w:rsid w:val="009455A4"/>
    <w:rsid w:val="009505AB"/>
    <w:rsid w:val="009553C5"/>
    <w:rsid w:val="00956C47"/>
    <w:rsid w:val="00961B8B"/>
    <w:rsid w:val="0096429D"/>
    <w:rsid w:val="00964F81"/>
    <w:rsid w:val="00972D12"/>
    <w:rsid w:val="00984533"/>
    <w:rsid w:val="00991FEC"/>
    <w:rsid w:val="009930E9"/>
    <w:rsid w:val="009933D5"/>
    <w:rsid w:val="009A2A34"/>
    <w:rsid w:val="009A7256"/>
    <w:rsid w:val="009B14CF"/>
    <w:rsid w:val="009B3869"/>
    <w:rsid w:val="009C095F"/>
    <w:rsid w:val="009C428E"/>
    <w:rsid w:val="009C7CEA"/>
    <w:rsid w:val="009D3B9B"/>
    <w:rsid w:val="009E0C22"/>
    <w:rsid w:val="009E1832"/>
    <w:rsid w:val="009E443F"/>
    <w:rsid w:val="009E5231"/>
    <w:rsid w:val="009E6D7B"/>
    <w:rsid w:val="009F540F"/>
    <w:rsid w:val="00A00014"/>
    <w:rsid w:val="00A01645"/>
    <w:rsid w:val="00A01E77"/>
    <w:rsid w:val="00A01F5F"/>
    <w:rsid w:val="00A0322A"/>
    <w:rsid w:val="00A0659C"/>
    <w:rsid w:val="00A242F1"/>
    <w:rsid w:val="00A24988"/>
    <w:rsid w:val="00A2646E"/>
    <w:rsid w:val="00A305A0"/>
    <w:rsid w:val="00A35276"/>
    <w:rsid w:val="00A36F39"/>
    <w:rsid w:val="00A41980"/>
    <w:rsid w:val="00A428C1"/>
    <w:rsid w:val="00A52334"/>
    <w:rsid w:val="00A60962"/>
    <w:rsid w:val="00A61522"/>
    <w:rsid w:val="00A675F0"/>
    <w:rsid w:val="00A72E47"/>
    <w:rsid w:val="00A74139"/>
    <w:rsid w:val="00A75F59"/>
    <w:rsid w:val="00A81F60"/>
    <w:rsid w:val="00A87906"/>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B05ACC"/>
    <w:rsid w:val="00B141D3"/>
    <w:rsid w:val="00B16A8E"/>
    <w:rsid w:val="00B203D0"/>
    <w:rsid w:val="00B23C9D"/>
    <w:rsid w:val="00B277EC"/>
    <w:rsid w:val="00B40499"/>
    <w:rsid w:val="00B41748"/>
    <w:rsid w:val="00B42EB9"/>
    <w:rsid w:val="00B433A2"/>
    <w:rsid w:val="00B474CB"/>
    <w:rsid w:val="00B51B27"/>
    <w:rsid w:val="00B5255D"/>
    <w:rsid w:val="00B55E65"/>
    <w:rsid w:val="00B5754A"/>
    <w:rsid w:val="00B61F6F"/>
    <w:rsid w:val="00B64FEB"/>
    <w:rsid w:val="00B66089"/>
    <w:rsid w:val="00B66E42"/>
    <w:rsid w:val="00B67EF7"/>
    <w:rsid w:val="00B71854"/>
    <w:rsid w:val="00B762D9"/>
    <w:rsid w:val="00B76EF5"/>
    <w:rsid w:val="00B92573"/>
    <w:rsid w:val="00B92C70"/>
    <w:rsid w:val="00B9341F"/>
    <w:rsid w:val="00BA0FE2"/>
    <w:rsid w:val="00BA161C"/>
    <w:rsid w:val="00BC357F"/>
    <w:rsid w:val="00BC5BD2"/>
    <w:rsid w:val="00BD2093"/>
    <w:rsid w:val="00BD77D6"/>
    <w:rsid w:val="00BD7E57"/>
    <w:rsid w:val="00BE0F18"/>
    <w:rsid w:val="00BE18C2"/>
    <w:rsid w:val="00BE28F5"/>
    <w:rsid w:val="00BE3142"/>
    <w:rsid w:val="00BE5EED"/>
    <w:rsid w:val="00BE7BF6"/>
    <w:rsid w:val="00C00EE8"/>
    <w:rsid w:val="00C04E00"/>
    <w:rsid w:val="00C1610E"/>
    <w:rsid w:val="00C16578"/>
    <w:rsid w:val="00C20A58"/>
    <w:rsid w:val="00C22B29"/>
    <w:rsid w:val="00C22C74"/>
    <w:rsid w:val="00C34B4F"/>
    <w:rsid w:val="00C37569"/>
    <w:rsid w:val="00C40FA3"/>
    <w:rsid w:val="00C47AD4"/>
    <w:rsid w:val="00C62904"/>
    <w:rsid w:val="00C652F8"/>
    <w:rsid w:val="00C73D60"/>
    <w:rsid w:val="00C76888"/>
    <w:rsid w:val="00C77521"/>
    <w:rsid w:val="00C77D65"/>
    <w:rsid w:val="00C84DDA"/>
    <w:rsid w:val="00C918E6"/>
    <w:rsid w:val="00C97002"/>
    <w:rsid w:val="00CA32FC"/>
    <w:rsid w:val="00CA42ED"/>
    <w:rsid w:val="00CA5A48"/>
    <w:rsid w:val="00CB0572"/>
    <w:rsid w:val="00CD6D41"/>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213E"/>
    <w:rsid w:val="00D875F0"/>
    <w:rsid w:val="00D905F3"/>
    <w:rsid w:val="00D923A9"/>
    <w:rsid w:val="00DA002C"/>
    <w:rsid w:val="00DA1B11"/>
    <w:rsid w:val="00DA215F"/>
    <w:rsid w:val="00DA2582"/>
    <w:rsid w:val="00DA4A3C"/>
    <w:rsid w:val="00DA7F5A"/>
    <w:rsid w:val="00DB19E6"/>
    <w:rsid w:val="00DB2036"/>
    <w:rsid w:val="00DB2EA5"/>
    <w:rsid w:val="00DC123A"/>
    <w:rsid w:val="00DC34AB"/>
    <w:rsid w:val="00DC364F"/>
    <w:rsid w:val="00DD0818"/>
    <w:rsid w:val="00DD13E8"/>
    <w:rsid w:val="00DD1C76"/>
    <w:rsid w:val="00DD3029"/>
    <w:rsid w:val="00DD39F8"/>
    <w:rsid w:val="00DD405C"/>
    <w:rsid w:val="00DE51F0"/>
    <w:rsid w:val="00DF0941"/>
    <w:rsid w:val="00DF1E84"/>
    <w:rsid w:val="00DF5F45"/>
    <w:rsid w:val="00E000B7"/>
    <w:rsid w:val="00E02381"/>
    <w:rsid w:val="00E05575"/>
    <w:rsid w:val="00E05670"/>
    <w:rsid w:val="00E10298"/>
    <w:rsid w:val="00E24EFE"/>
    <w:rsid w:val="00E25638"/>
    <w:rsid w:val="00E2717D"/>
    <w:rsid w:val="00E51525"/>
    <w:rsid w:val="00E5371F"/>
    <w:rsid w:val="00E630E4"/>
    <w:rsid w:val="00E704AA"/>
    <w:rsid w:val="00E7079F"/>
    <w:rsid w:val="00E75A4F"/>
    <w:rsid w:val="00E766EE"/>
    <w:rsid w:val="00E820F5"/>
    <w:rsid w:val="00E873C4"/>
    <w:rsid w:val="00E92452"/>
    <w:rsid w:val="00E958D2"/>
    <w:rsid w:val="00E97CAE"/>
    <w:rsid w:val="00EC0DC4"/>
    <w:rsid w:val="00EC6F8D"/>
    <w:rsid w:val="00ED56A0"/>
    <w:rsid w:val="00ED6C8D"/>
    <w:rsid w:val="00EE0117"/>
    <w:rsid w:val="00EE1BBF"/>
    <w:rsid w:val="00EE291C"/>
    <w:rsid w:val="00EE53F0"/>
    <w:rsid w:val="00EF09E7"/>
    <w:rsid w:val="00EF0C8C"/>
    <w:rsid w:val="00EF3E21"/>
    <w:rsid w:val="00EF7051"/>
    <w:rsid w:val="00EF749B"/>
    <w:rsid w:val="00EF7D06"/>
    <w:rsid w:val="00F013EF"/>
    <w:rsid w:val="00F05333"/>
    <w:rsid w:val="00F14DAF"/>
    <w:rsid w:val="00F259B1"/>
    <w:rsid w:val="00F27C2E"/>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6B9F"/>
    <w:rsid w:val="00FA749C"/>
    <w:rsid w:val="00FB53DA"/>
    <w:rsid w:val="00FB54B4"/>
    <w:rsid w:val="00FC1AF1"/>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B3DB0D1-CF65-4EA3-84A7-839AA9EA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soz.ibip.wroc.pl/public/?id=2589" TargetMode="External"/><Relationship Id="rId18" Type="http://schemas.openxmlformats.org/officeDocument/2006/relationships/hyperlink" Target="http://www.ipaw.walbrzych.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snow-ipaw.dolnyslask.pl/" TargetMode="External"/><Relationship Id="rId2" Type="http://schemas.openxmlformats.org/officeDocument/2006/relationships/numbering" Target="numbering.xml"/><Relationship Id="rId16" Type="http://schemas.openxmlformats.org/officeDocument/2006/relationships/hyperlink" Target="https://snow-ipaw.dolnyslask.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s://snow-ipaw.dolnyslask.pl/" TargetMode="External"/><Relationship Id="rId23" Type="http://schemas.openxmlformats.org/officeDocument/2006/relationships/theme" Target="theme/theme1.xml"/><Relationship Id="rId10" Type="http://schemas.openxmlformats.org/officeDocument/2006/relationships/hyperlink" Target="http://www.ipaw.walbrzych.eu/"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ipaw.walbrzych.eu/" TargetMode="External"/><Relationship Id="rId14" Type="http://schemas.openxmlformats.org/officeDocument/2006/relationships/hyperlink" Target="https://snow-ipaw.dolnyslas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55B9-44F5-4B05-9280-3E06443A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4573</Words>
  <Characters>27441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Katarzyna Lisiecka-Mika</cp:lastModifiedBy>
  <cp:revision>72</cp:revision>
  <cp:lastPrinted>2017-04-21T06:31:00Z</cp:lastPrinted>
  <dcterms:created xsi:type="dcterms:W3CDTF">2018-06-19T05:28:00Z</dcterms:created>
  <dcterms:modified xsi:type="dcterms:W3CDTF">2018-12-19T09:37:00Z</dcterms:modified>
</cp:coreProperties>
</file>